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3A8A"/>
          <w:sz w:val="40"/>
        </w:rPr>
        <w:t>FREIGHT MANAGEMENT SYSTEM (FMS)</w:t>
        <w:br/>
        <w:t>BACKEND ENGINEERING MASTERCLASS</w:t>
      </w:r>
    </w:p>
    <w:p>
      <w:pPr>
        <w:spacing w:after="200"/>
      </w:pPr>
      <w:r>
        <w:rPr>
          <w:rFonts w:ascii="Calibri" w:hAnsi="Calibri"/>
          <w:color w:val="646464"/>
          <w:sz w:val="22"/>
        </w:rPr>
        <w:t>Arsitektur Domain, Integrasi CargoWise, &amp; Panduan Transisi ke .NET / Microsoft Enterprise Ecosystem.</w:t>
      </w:r>
    </w:p>
    <w:tbl>
      <w:tblPr>
        <w:tblW w:type="auto" w:w="0"/>
        <w:jc w:val="center"/>
        <w:tblLayout w:type="fixed"/>
        <w:tblLook w:firstColumn="1" w:firstRow="1" w:lastColumn="0" w:lastRow="0" w:noHBand="0" w:noVBand="1" w:val="04A0"/>
      </w:tblPr>
      <w:tblGrid>
        <w:gridCol w:w="9792"/>
      </w:tblGrid>
      <w:tr>
        <w:tc>
          <w:tcPr>
            <w:tcW w:type="dxa" w:w="9936"/>
            <w:shd w:fill="F0F4F8"/>
            <w:tcMar>
              <w:top w:w="100" w:type="dxa"/>
              <w:bottom w:w="100" w:type="dxa"/>
              <w:left w:w="140" w:type="dxa"/>
              <w:right w:w="140" w:type="dxa"/>
            </w:tcMar>
            <w:tcBorders>
              <w:left w:val="single" w:sz="24" w:space="0" w:color="1E3A8A"/>
              <w:top w:val="none"/>
              <w:right w:val="none"/>
              <w:bottom w:val="none"/>
            </w:tcBorders>
          </w:tcPr>
          <w:p>
            <w:pPr>
              <w:spacing w:before="40" w:after="40"/>
            </w:pPr>
            <w:r>
              <w:rPr>
                <w:rFonts w:ascii="Calibri" w:hAnsi="Calibri"/>
                <w:b/>
                <w:color w:val="1E3A8A"/>
                <w:sz w:val="20"/>
              </w:rPr>
              <w:t>📌 KONTEKS TEKNOLOGI ONEBYONE LOGISTICAL</w:t>
              <w:br/>
            </w:r>
            <w:r>
              <w:rPr>
                <w:rFonts w:ascii="Calibri" w:hAnsi="Calibri"/>
                <w:color w:val="333333"/>
                <w:sz w:val="19"/>
              </w:rPr>
              <w:t>Backend FMS di OneByOne Logistical dibangun menggunakan platform .NET / C# dan ekosistem Microsoft (ASP.NET Core, EF Core / Dapper, Azure Service Bus / MassTransit, SQL Server). Dokumen ini mengintegrasikan seluruh domain logistik dengan pemetaan konsep dari Go/TypeScript ke .NET modern (.NET 8/9), pola arsitektur Clean/CQRS, dan implementasi kode nyata.</w:t>
            </w:r>
          </w:p>
        </w:tc>
      </w:tr>
    </w:tbl>
    <w:p>
      <w:pPr>
        <w:spacing w:after="60" w:before="0"/>
      </w:pPr>
    </w:p>
    <w:p>
      <w:pPr>
        <w:pStyle w:val="Heading1"/>
        <w:keepNext/>
        <w:spacing w:before="280" w:after="80"/>
      </w:pPr>
      <w:r>
        <w:rPr>
          <w:rFonts w:ascii="Calibri" w:hAnsi="Calibri"/>
          <w:color w:val="1E3A8A"/>
          <w:sz w:val="30"/>
        </w:rPr>
        <w:t>1. Domain Fundamental Freight Forwarding &amp; FMS</w:t>
      </w:r>
    </w:p>
    <w:p>
      <w:pPr>
        <w:spacing w:before="0" w:after="60" w:line="276" w:lineRule="auto"/>
      </w:pPr>
      <w:r>
        <w:rPr>
          <w:rFonts w:ascii="Calibri" w:hAnsi="Calibri"/>
          <w:i w:val="0"/>
          <w:color w:val="333333"/>
          <w:sz w:val="20"/>
        </w:rPr>
        <w:t>Freight Management System (FMS) adalah sistem operasional inti dalam industri freight forwarding yang mengoordinasikan pergerakan muatan global lintas moda (Laut, Udara, dan Darat). FMS menghubungkan entitas Shipper (pemilik barang), Carrier (maskapai atau pelayaran pengangkut), Bea Cukai (Customs), Pelabuhan (Terminal), dan Consignee (penerima akhir).</w:t>
      </w:r>
    </w:p>
    <w:tbl>
      <w:tblPr>
        <w:tblW w:type="auto" w:w="0"/>
        <w:jc w:val="center"/>
        <w:tblLayout w:type="fixed"/>
        <w:tblLook w:firstColumn="1" w:firstRow="1" w:lastColumn="0" w:lastRow="0" w:noHBand="0" w:noVBand="1" w:val="04A0"/>
      </w:tblPr>
      <w:tblGrid>
        <w:gridCol w:w="3312"/>
        <w:gridCol w:w="3312"/>
        <w:gridCol w:w="3312"/>
      </w:tblGrid>
      <w:tr>
        <w:tc>
          <w:tcPr>
            <w:tcW w:type="dxa" w:w="2160"/>
            <w:shd w:fill="1E3A8A"/>
            <w:tcMar>
              <w:top w:w="80" w:type="dxa"/>
              <w:bottom w:w="80" w:type="dxa"/>
              <w:left w:w="100" w:type="dxa"/>
              <w:right w:w="100" w:type="dxa"/>
            </w:tcMar>
          </w:tcPr>
          <w:p>
            <w:pPr>
              <w:jc w:val="center"/>
            </w:pPr>
            <w:r>
              <w:rPr>
                <w:rFonts w:ascii="Calibri" w:hAnsi="Calibri"/>
                <w:b/>
                <w:color w:val="FFFFFF"/>
                <w:sz w:val="18"/>
              </w:rPr>
              <w:t>Terminologi</w:t>
            </w:r>
          </w:p>
        </w:tc>
        <w:tc>
          <w:tcPr>
            <w:tcW w:type="dxa" w:w="1296"/>
            <w:shd w:fill="1E3A8A"/>
            <w:tcMar>
              <w:top w:w="80" w:type="dxa"/>
              <w:bottom w:w="80" w:type="dxa"/>
              <w:left w:w="100" w:type="dxa"/>
              <w:right w:w="100" w:type="dxa"/>
            </w:tcMar>
          </w:tcPr>
          <w:p>
            <w:pPr>
              <w:jc w:val="center"/>
            </w:pPr>
            <w:r>
              <w:rPr>
                <w:rFonts w:ascii="Calibri" w:hAnsi="Calibri"/>
                <w:b/>
                <w:color w:val="FFFFFF"/>
                <w:sz w:val="18"/>
              </w:rPr>
              <w:t>Kategori</w:t>
            </w:r>
          </w:p>
        </w:tc>
        <w:tc>
          <w:tcPr>
            <w:tcW w:type="dxa" w:w="6336"/>
            <w:shd w:fill="1E3A8A"/>
            <w:tcMar>
              <w:top w:w="80" w:type="dxa"/>
              <w:bottom w:w="80" w:type="dxa"/>
              <w:left w:w="100" w:type="dxa"/>
              <w:right w:w="100" w:type="dxa"/>
            </w:tcMar>
          </w:tcPr>
          <w:p>
            <w:pPr>
              <w:jc w:val="center"/>
            </w:pPr>
            <w:r>
              <w:rPr>
                <w:rFonts w:ascii="Calibri" w:hAnsi="Calibri"/>
                <w:b/>
                <w:color w:val="FFFFFF"/>
                <w:sz w:val="18"/>
              </w:rPr>
              <w:t>Definisi &amp; Signifikansi Sistem</w:t>
            </w:r>
          </w:p>
        </w:tc>
      </w:tr>
      <w:tr>
        <w:tc>
          <w:tcPr>
            <w:tcW w:type="dxa" w:w="2160"/>
            <w:shd w:fill="FFFFFF"/>
            <w:tcMar>
              <w:top w:w="60" w:type="dxa"/>
              <w:bottom w:w="60" w:type="dxa"/>
              <w:left w:w="100" w:type="dxa"/>
              <w:right w:w="100" w:type="dxa"/>
            </w:tcMar>
          </w:tcPr>
          <w:p>
            <w:r>
              <w:rPr>
                <w:rFonts w:ascii="Calibri" w:hAnsi="Calibri"/>
                <w:color w:val="333333"/>
                <w:sz w:val="17"/>
              </w:rPr>
              <w:t>FCL (Full Container Load)</w:t>
            </w:r>
          </w:p>
        </w:tc>
        <w:tc>
          <w:tcPr>
            <w:tcW w:type="dxa" w:w="1296"/>
            <w:shd w:fill="FFFFFF"/>
            <w:tcMar>
              <w:top w:w="60" w:type="dxa"/>
              <w:bottom w:w="60" w:type="dxa"/>
              <w:left w:w="100" w:type="dxa"/>
              <w:right w:w="100" w:type="dxa"/>
            </w:tcMar>
          </w:tcPr>
          <w:p>
            <w:r>
              <w:rPr>
                <w:rFonts w:ascii="Calibri" w:hAnsi="Calibri"/>
                <w:color w:val="333333"/>
                <w:sz w:val="17"/>
              </w:rPr>
              <w:t>Ocean</w:t>
            </w:r>
          </w:p>
        </w:tc>
        <w:tc>
          <w:tcPr>
            <w:tcW w:type="dxa" w:w="6336"/>
            <w:shd w:fill="FFFFFF"/>
            <w:tcMar>
              <w:top w:w="60" w:type="dxa"/>
              <w:bottom w:w="60" w:type="dxa"/>
              <w:left w:w="100" w:type="dxa"/>
              <w:right w:w="100" w:type="dxa"/>
            </w:tcMar>
          </w:tcPr>
          <w:p>
            <w:r>
              <w:rPr>
                <w:rFonts w:ascii="Calibri" w:hAnsi="Calibri"/>
                <w:color w:val="333333"/>
                <w:sz w:val="17"/>
              </w:rPr>
              <w:t>Pengiriman kontainer penuh oleh satu shipper. Identifikasi nomor kontainer (misal: MSKU1234567) adalah primary key tracking.</w:t>
            </w:r>
          </w:p>
        </w:tc>
      </w:tr>
      <w:tr>
        <w:tc>
          <w:tcPr>
            <w:tcW w:type="dxa" w:w="2160"/>
            <w:shd w:fill="F8FAFC"/>
            <w:tcMar>
              <w:top w:w="60" w:type="dxa"/>
              <w:bottom w:w="60" w:type="dxa"/>
              <w:left w:w="100" w:type="dxa"/>
              <w:right w:w="100" w:type="dxa"/>
            </w:tcMar>
          </w:tcPr>
          <w:p>
            <w:r>
              <w:rPr>
                <w:rFonts w:ascii="Calibri" w:hAnsi="Calibri"/>
                <w:color w:val="333333"/>
                <w:sz w:val="17"/>
              </w:rPr>
              <w:t>LCL (Less Container Load)</w:t>
            </w:r>
          </w:p>
        </w:tc>
        <w:tc>
          <w:tcPr>
            <w:tcW w:type="dxa" w:w="1296"/>
            <w:shd w:fill="F8FAFC"/>
            <w:tcMar>
              <w:top w:w="60" w:type="dxa"/>
              <w:bottom w:w="60" w:type="dxa"/>
              <w:left w:w="100" w:type="dxa"/>
              <w:right w:w="100" w:type="dxa"/>
            </w:tcMar>
          </w:tcPr>
          <w:p>
            <w:r>
              <w:rPr>
                <w:rFonts w:ascii="Calibri" w:hAnsi="Calibri"/>
                <w:color w:val="333333"/>
                <w:sz w:val="17"/>
              </w:rPr>
              <w:t>Ocean</w:t>
            </w:r>
          </w:p>
        </w:tc>
        <w:tc>
          <w:tcPr>
            <w:tcW w:type="dxa" w:w="6336"/>
            <w:shd w:fill="F8FAFC"/>
            <w:tcMar>
              <w:top w:w="60" w:type="dxa"/>
              <w:bottom w:w="60" w:type="dxa"/>
              <w:left w:w="100" w:type="dxa"/>
              <w:right w:w="100" w:type="dxa"/>
            </w:tcMar>
          </w:tcPr>
          <w:p>
            <w:r>
              <w:rPr>
                <w:rFonts w:ascii="Calibri" w:hAnsi="Calibri"/>
                <w:color w:val="333333"/>
                <w:sz w:val="17"/>
              </w:rPr>
              <w:t>Konsolidasi muatan kecil dari banyak shipper ke dalam satu kontainer bersama di Container Freight Station (CFS).</w:t>
            </w:r>
          </w:p>
        </w:tc>
      </w:tr>
      <w:tr>
        <w:tc>
          <w:tcPr>
            <w:tcW w:type="dxa" w:w="2160"/>
            <w:shd w:fill="FFFFFF"/>
            <w:tcMar>
              <w:top w:w="60" w:type="dxa"/>
              <w:bottom w:w="60" w:type="dxa"/>
              <w:left w:w="100" w:type="dxa"/>
              <w:right w:w="100" w:type="dxa"/>
            </w:tcMar>
          </w:tcPr>
          <w:p>
            <w:r>
              <w:rPr>
                <w:rFonts w:ascii="Calibri" w:hAnsi="Calibri"/>
                <w:color w:val="333333"/>
                <w:sz w:val="17"/>
              </w:rPr>
              <w:t>CBM &amp; Volumetric Weight</w:t>
            </w:r>
          </w:p>
        </w:tc>
        <w:tc>
          <w:tcPr>
            <w:tcW w:type="dxa" w:w="1296"/>
            <w:shd w:fill="FFFFFF"/>
            <w:tcMar>
              <w:top w:w="60" w:type="dxa"/>
              <w:bottom w:w="60" w:type="dxa"/>
              <w:left w:w="100" w:type="dxa"/>
              <w:right w:w="100" w:type="dxa"/>
            </w:tcMar>
          </w:tcPr>
          <w:p>
            <w:r>
              <w:rPr>
                <w:rFonts w:ascii="Calibri" w:hAnsi="Calibri"/>
                <w:color w:val="333333"/>
                <w:sz w:val="17"/>
              </w:rPr>
              <w:t>Kalkulasi</w:t>
            </w:r>
          </w:p>
        </w:tc>
        <w:tc>
          <w:tcPr>
            <w:tcW w:type="dxa" w:w="6336"/>
            <w:shd w:fill="FFFFFF"/>
            <w:tcMar>
              <w:top w:w="60" w:type="dxa"/>
              <w:bottom w:w="60" w:type="dxa"/>
              <w:left w:w="100" w:type="dxa"/>
              <w:right w:w="100" w:type="dxa"/>
            </w:tcMar>
          </w:tcPr>
          <w:p>
            <w:r>
              <w:rPr>
                <w:rFonts w:ascii="Calibri" w:hAnsi="Calibri"/>
                <w:color w:val="333333"/>
                <w:sz w:val="17"/>
              </w:rPr>
              <w:t>Dasar penetapan tarif. Laut: 1 CBM = 1.000 kg. Udara: 1 CBM = 167 kg (rasio 1:6000 atau 1:5000 cm3/kg). Penagihan memakai chargeable weight tertinggi.</w:t>
            </w:r>
          </w:p>
        </w:tc>
      </w:tr>
      <w:tr>
        <w:tc>
          <w:tcPr>
            <w:tcW w:type="dxa" w:w="2160"/>
            <w:shd w:fill="F8FAFC"/>
            <w:tcMar>
              <w:top w:w="60" w:type="dxa"/>
              <w:bottom w:w="60" w:type="dxa"/>
              <w:left w:w="100" w:type="dxa"/>
              <w:right w:w="100" w:type="dxa"/>
            </w:tcMar>
          </w:tcPr>
          <w:p>
            <w:r>
              <w:rPr>
                <w:rFonts w:ascii="Calibri" w:hAnsi="Calibri"/>
                <w:color w:val="333333"/>
                <w:sz w:val="17"/>
              </w:rPr>
              <w:t>Incoterms 2020</w:t>
            </w:r>
          </w:p>
        </w:tc>
        <w:tc>
          <w:tcPr>
            <w:tcW w:type="dxa" w:w="1296"/>
            <w:shd w:fill="F8FAFC"/>
            <w:tcMar>
              <w:top w:w="60" w:type="dxa"/>
              <w:bottom w:w="60" w:type="dxa"/>
              <w:left w:w="100" w:type="dxa"/>
              <w:right w:w="100" w:type="dxa"/>
            </w:tcMar>
          </w:tcPr>
          <w:p>
            <w:r>
              <w:rPr>
                <w:rFonts w:ascii="Calibri" w:hAnsi="Calibri"/>
                <w:color w:val="333333"/>
                <w:sz w:val="17"/>
              </w:rPr>
              <w:t>Legal Trade</w:t>
            </w:r>
          </w:p>
        </w:tc>
        <w:tc>
          <w:tcPr>
            <w:tcW w:type="dxa" w:w="6336"/>
            <w:shd w:fill="F8FAFC"/>
            <w:tcMar>
              <w:top w:w="60" w:type="dxa"/>
              <w:bottom w:w="60" w:type="dxa"/>
              <w:left w:w="100" w:type="dxa"/>
              <w:right w:w="100" w:type="dxa"/>
            </w:tcMar>
          </w:tcPr>
          <w:p>
            <w:r>
              <w:rPr>
                <w:rFonts w:ascii="Calibri" w:hAnsi="Calibri"/>
                <w:color w:val="333333"/>
                <w:sz w:val="17"/>
              </w:rPr>
              <w:t>Aturan pembagian biaya &amp; risiko internasional. Contoh: FOB (biaya lokal asal oleh shipper, ocean freight oleh consignee), CIF, DDP, EXW.</w:t>
            </w:r>
          </w:p>
        </w:tc>
      </w:tr>
      <w:tr>
        <w:tc>
          <w:tcPr>
            <w:tcW w:type="dxa" w:w="2160"/>
            <w:shd w:fill="FFFFFF"/>
            <w:tcMar>
              <w:top w:w="60" w:type="dxa"/>
              <w:bottom w:w="60" w:type="dxa"/>
              <w:left w:w="100" w:type="dxa"/>
              <w:right w:w="100" w:type="dxa"/>
            </w:tcMar>
          </w:tcPr>
          <w:p>
            <w:r>
              <w:rPr>
                <w:rFonts w:ascii="Calibri" w:hAnsi="Calibri"/>
                <w:color w:val="333333"/>
                <w:sz w:val="17"/>
              </w:rPr>
              <w:t>UN/LOCODE</w:t>
            </w:r>
          </w:p>
        </w:tc>
        <w:tc>
          <w:tcPr>
            <w:tcW w:type="dxa" w:w="1296"/>
            <w:shd w:fill="FFFFFF"/>
            <w:tcMar>
              <w:top w:w="60" w:type="dxa"/>
              <w:bottom w:w="60" w:type="dxa"/>
              <w:left w:w="100" w:type="dxa"/>
              <w:right w:w="100" w:type="dxa"/>
            </w:tcMar>
          </w:tcPr>
          <w:p>
            <w:r>
              <w:rPr>
                <w:rFonts w:ascii="Calibri" w:hAnsi="Calibri"/>
                <w:color w:val="333333"/>
                <w:sz w:val="17"/>
              </w:rPr>
              <w:t>Standarisasi</w:t>
            </w:r>
          </w:p>
        </w:tc>
        <w:tc>
          <w:tcPr>
            <w:tcW w:type="dxa" w:w="6336"/>
            <w:shd w:fill="FFFFFF"/>
            <w:tcMar>
              <w:top w:w="60" w:type="dxa"/>
              <w:bottom w:w="60" w:type="dxa"/>
              <w:left w:w="100" w:type="dxa"/>
              <w:right w:w="100" w:type="dxa"/>
            </w:tcMar>
          </w:tcPr>
          <w:p>
            <w:r>
              <w:rPr>
                <w:rFonts w:ascii="Calibri" w:hAnsi="Calibri"/>
                <w:color w:val="333333"/>
                <w:sz w:val="17"/>
              </w:rPr>
              <w:t>Kode 5 karakter lokasi pelabuhan global. IDJKT (Tanjung Priok), IDSUB (Tanjung Perak), SGSIN (Singapura), USLAX (Los Angeles).</w:t>
            </w:r>
          </w:p>
        </w:tc>
      </w:tr>
    </w:tbl>
    <w:p>
      <w:pPr>
        <w:spacing w:after="60"/>
      </w:pPr>
    </w:p>
    <w:p>
      <w:pPr>
        <w:pStyle w:val="Heading1"/>
        <w:keepNext/>
        <w:spacing w:before="280" w:after="80"/>
      </w:pPr>
      <w:r>
        <w:rPr>
          <w:rFonts w:ascii="Calibri" w:hAnsi="Calibri"/>
          <w:color w:val="1E3A8A"/>
          <w:sz w:val="30"/>
        </w:rPr>
        <w:t>2. Siklus Dokumen Pengapalan (The Legal Core)</w:t>
      </w:r>
    </w:p>
    <w:p>
      <w:pPr>
        <w:spacing w:before="0" w:after="60" w:line="276" w:lineRule="auto"/>
      </w:pPr>
      <w:r>
        <w:rPr>
          <w:rFonts w:ascii="Calibri" w:hAnsi="Calibri"/>
          <w:i w:val="0"/>
          <w:color w:val="333333"/>
          <w:sz w:val="20"/>
        </w:rPr>
        <w:t>FMS bukan sekadar tracker status, melainkan sistem penerbitan dokumen hukum legal internasional. Setiap shipment memiliki hierarki dokumen yang wajib divalidasi ketat: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872"/>
            <w:shd w:fill="1E3A8A"/>
            <w:tcMar>
              <w:top w:w="80" w:type="dxa"/>
              <w:bottom w:w="80" w:type="dxa"/>
              <w:left w:w="100" w:type="dxa"/>
              <w:right w:w="100" w:type="dxa"/>
            </w:tcMar>
          </w:tcPr>
          <w:p>
            <w:pPr>
              <w:jc w:val="center"/>
            </w:pPr>
            <w:r>
              <w:rPr>
                <w:rFonts w:ascii="Calibri" w:hAnsi="Calibri"/>
                <w:b/>
                <w:color w:val="FFFFFF"/>
                <w:sz w:val="18"/>
              </w:rPr>
              <w:t>Dokumen</w:t>
            </w:r>
          </w:p>
        </w:tc>
        <w:tc>
          <w:tcPr>
            <w:tcW w:type="dxa" w:w="1728"/>
            <w:shd w:fill="1E3A8A"/>
            <w:tcMar>
              <w:top w:w="80" w:type="dxa"/>
              <w:bottom w:w="80" w:type="dxa"/>
              <w:left w:w="100" w:type="dxa"/>
              <w:right w:w="100" w:type="dxa"/>
            </w:tcMar>
          </w:tcPr>
          <w:p>
            <w:pPr>
              <w:jc w:val="center"/>
            </w:pPr>
            <w:r>
              <w:rPr>
                <w:rFonts w:ascii="Calibri" w:hAnsi="Calibri"/>
                <w:b/>
                <w:color w:val="FFFFFF"/>
                <w:sz w:val="18"/>
              </w:rPr>
              <w:t>Penerbit</w:t>
            </w:r>
          </w:p>
        </w:tc>
        <w:tc>
          <w:tcPr>
            <w:tcW w:type="dxa" w:w="1584"/>
            <w:shd w:fill="1E3A8A"/>
            <w:tcMar>
              <w:top w:w="80" w:type="dxa"/>
              <w:bottom w:w="80" w:type="dxa"/>
              <w:left w:w="100" w:type="dxa"/>
              <w:right w:w="100" w:type="dxa"/>
            </w:tcMar>
          </w:tcPr>
          <w:p>
            <w:pPr>
              <w:jc w:val="center"/>
            </w:pPr>
            <w:r>
              <w:rPr>
                <w:rFonts w:ascii="Calibri" w:hAnsi="Calibri"/>
                <w:b/>
                <w:color w:val="FFFFFF"/>
                <w:sz w:val="18"/>
              </w:rPr>
              <w:t>Penerima</w:t>
            </w:r>
          </w:p>
        </w:tc>
        <w:tc>
          <w:tcPr>
            <w:tcW w:type="dxa" w:w="4608"/>
            <w:shd w:fill="1E3A8A"/>
            <w:tcMar>
              <w:top w:w="80" w:type="dxa"/>
              <w:bottom w:w="80" w:type="dxa"/>
              <w:left w:w="100" w:type="dxa"/>
              <w:right w:w="100" w:type="dxa"/>
            </w:tcMar>
          </w:tcPr>
          <w:p>
            <w:pPr>
              <w:jc w:val="center"/>
            </w:pPr>
            <w:r>
              <w:rPr>
                <w:rFonts w:ascii="Calibri" w:hAnsi="Calibri"/>
                <w:b/>
                <w:color w:val="FFFFFF"/>
                <w:sz w:val="18"/>
              </w:rPr>
              <w:t>Fungsi Hukum &amp; Pemetaan DB</w:t>
            </w:r>
          </w:p>
        </w:tc>
      </w:tr>
      <w:tr>
        <w:tc>
          <w:tcPr>
            <w:tcW w:type="dxa" w:w="1872"/>
            <w:shd w:fill="FFFFFF"/>
            <w:tcMar>
              <w:top w:w="60" w:type="dxa"/>
              <w:bottom w:w="60" w:type="dxa"/>
              <w:left w:w="100" w:type="dxa"/>
              <w:right w:w="100" w:type="dxa"/>
            </w:tcMar>
          </w:tcPr>
          <w:p>
            <w:r>
              <w:rPr>
                <w:rFonts w:ascii="Calibri" w:hAnsi="Calibri"/>
                <w:color w:val="333333"/>
                <w:sz w:val="17"/>
              </w:rPr>
              <w:t>Master B/L (MBL)</w:t>
            </w:r>
          </w:p>
        </w:tc>
        <w:tc>
          <w:tcPr>
            <w:tcW w:type="dxa" w:w="1728"/>
            <w:shd w:fill="FFFFFF"/>
            <w:tcMar>
              <w:top w:w="60" w:type="dxa"/>
              <w:bottom w:w="60" w:type="dxa"/>
              <w:left w:w="100" w:type="dxa"/>
              <w:right w:w="100" w:type="dxa"/>
            </w:tcMar>
          </w:tcPr>
          <w:p>
            <w:r>
              <w:rPr>
                <w:rFonts w:ascii="Calibri" w:hAnsi="Calibri"/>
                <w:color w:val="333333"/>
                <w:sz w:val="17"/>
              </w:rPr>
              <w:t>Shipping Line (Carrier)</w:t>
            </w:r>
          </w:p>
        </w:tc>
        <w:tc>
          <w:tcPr>
            <w:tcW w:type="dxa" w:w="1584"/>
            <w:shd w:fill="FFFFFF"/>
            <w:tcMar>
              <w:top w:w="60" w:type="dxa"/>
              <w:bottom w:w="60" w:type="dxa"/>
              <w:left w:w="100" w:type="dxa"/>
              <w:right w:w="100" w:type="dxa"/>
            </w:tcMar>
          </w:tcPr>
          <w:p>
            <w:r>
              <w:rPr>
                <w:rFonts w:ascii="Calibri" w:hAnsi="Calibri"/>
                <w:color w:val="333333"/>
                <w:sz w:val="17"/>
              </w:rPr>
              <w:t>Forwarder (OneByOne)</w:t>
            </w:r>
          </w:p>
        </w:tc>
        <w:tc>
          <w:tcPr>
            <w:tcW w:type="dxa" w:w="4608"/>
            <w:shd w:fill="FFFFFF"/>
            <w:tcMar>
              <w:top w:w="60" w:type="dxa"/>
              <w:bottom w:w="60" w:type="dxa"/>
              <w:left w:w="100" w:type="dxa"/>
              <w:right w:w="100" w:type="dxa"/>
            </w:tcMar>
          </w:tcPr>
          <w:p>
            <w:r>
              <w:rPr>
                <w:rFonts w:ascii="Calibri" w:hAnsi="Calibri"/>
                <w:color w:val="333333"/>
                <w:sz w:val="17"/>
              </w:rPr>
              <w:t>Kontrak angkutan utama pelayaran. Menentukan slot kapal, nomor voyage, dan feeder legs.</w:t>
            </w:r>
          </w:p>
        </w:tc>
      </w:tr>
      <w:tr>
        <w:tc>
          <w:tcPr>
            <w:tcW w:type="dxa" w:w="1872"/>
            <w:shd w:fill="F8FAFC"/>
            <w:tcMar>
              <w:top w:w="60" w:type="dxa"/>
              <w:bottom w:w="60" w:type="dxa"/>
              <w:left w:w="100" w:type="dxa"/>
              <w:right w:w="100" w:type="dxa"/>
            </w:tcMar>
          </w:tcPr>
          <w:p>
            <w:r>
              <w:rPr>
                <w:rFonts w:ascii="Calibri" w:hAnsi="Calibri"/>
                <w:color w:val="333333"/>
                <w:sz w:val="17"/>
              </w:rPr>
              <w:t>House B/L (HBL)</w:t>
            </w:r>
          </w:p>
        </w:tc>
        <w:tc>
          <w:tcPr>
            <w:tcW w:type="dxa" w:w="1728"/>
            <w:shd w:fill="F8FAFC"/>
            <w:tcMar>
              <w:top w:w="60" w:type="dxa"/>
              <w:bottom w:w="60" w:type="dxa"/>
              <w:left w:w="100" w:type="dxa"/>
              <w:right w:w="100" w:type="dxa"/>
            </w:tcMar>
          </w:tcPr>
          <w:p>
            <w:r>
              <w:rPr>
                <w:rFonts w:ascii="Calibri" w:hAnsi="Calibri"/>
                <w:color w:val="333333"/>
                <w:sz w:val="17"/>
              </w:rPr>
              <w:t>Forwarder (OneByOne)</w:t>
            </w:r>
          </w:p>
        </w:tc>
        <w:tc>
          <w:tcPr>
            <w:tcW w:type="dxa" w:w="1584"/>
            <w:shd w:fill="F8FAFC"/>
            <w:tcMar>
              <w:top w:w="60" w:type="dxa"/>
              <w:bottom w:w="60" w:type="dxa"/>
              <w:left w:w="100" w:type="dxa"/>
              <w:right w:w="100" w:type="dxa"/>
            </w:tcMar>
          </w:tcPr>
          <w:p>
            <w:r>
              <w:rPr>
                <w:rFonts w:ascii="Calibri" w:hAnsi="Calibri"/>
                <w:color w:val="333333"/>
                <w:sz w:val="17"/>
              </w:rPr>
              <w:t>Shipper Klien</w:t>
            </w:r>
          </w:p>
        </w:tc>
        <w:tc>
          <w:tcPr>
            <w:tcW w:type="dxa" w:w="4608"/>
            <w:shd w:fill="F8FAFC"/>
            <w:tcMar>
              <w:top w:w="60" w:type="dxa"/>
              <w:bottom w:w="60" w:type="dxa"/>
              <w:left w:w="100" w:type="dxa"/>
              <w:right w:w="100" w:type="dxa"/>
            </w:tcMar>
          </w:tcPr>
          <w:p>
            <w:r>
              <w:rPr>
                <w:rFonts w:ascii="Calibri" w:hAnsi="Calibri"/>
                <w:color w:val="333333"/>
                <w:sz w:val="17"/>
              </w:rPr>
              <w:t>Dokumen bukti kepemilikan kargo (Title of Goods) yang diserahkan ke pemilik kargo asli.</w:t>
            </w:r>
          </w:p>
        </w:tc>
      </w:tr>
      <w:tr>
        <w:tc>
          <w:tcPr>
            <w:tcW w:type="dxa" w:w="1872"/>
            <w:shd w:fill="FFFFFF"/>
            <w:tcMar>
              <w:top w:w="60" w:type="dxa"/>
              <w:bottom w:w="60" w:type="dxa"/>
              <w:left w:w="100" w:type="dxa"/>
              <w:right w:w="100" w:type="dxa"/>
            </w:tcMar>
          </w:tcPr>
          <w:p>
            <w:r>
              <w:rPr>
                <w:rFonts w:ascii="Calibri" w:hAnsi="Calibri"/>
                <w:color w:val="333333"/>
                <w:sz w:val="17"/>
              </w:rPr>
              <w:t>Master / House AWB</w:t>
            </w:r>
          </w:p>
        </w:tc>
        <w:tc>
          <w:tcPr>
            <w:tcW w:type="dxa" w:w="1728"/>
            <w:shd w:fill="FFFFFF"/>
            <w:tcMar>
              <w:top w:w="60" w:type="dxa"/>
              <w:bottom w:w="60" w:type="dxa"/>
              <w:left w:w="100" w:type="dxa"/>
              <w:right w:w="100" w:type="dxa"/>
            </w:tcMar>
          </w:tcPr>
          <w:p>
            <w:r>
              <w:rPr>
                <w:rFonts w:ascii="Calibri" w:hAnsi="Calibri"/>
                <w:color w:val="333333"/>
                <w:sz w:val="17"/>
              </w:rPr>
              <w:t>Airline / Forwarder</w:t>
            </w:r>
          </w:p>
        </w:tc>
        <w:tc>
          <w:tcPr>
            <w:tcW w:type="dxa" w:w="1584"/>
            <w:shd w:fill="FFFFFF"/>
            <w:tcMar>
              <w:top w:w="60" w:type="dxa"/>
              <w:bottom w:w="60" w:type="dxa"/>
              <w:left w:w="100" w:type="dxa"/>
              <w:right w:w="100" w:type="dxa"/>
            </w:tcMar>
          </w:tcPr>
          <w:p>
            <w:r>
              <w:rPr>
                <w:rFonts w:ascii="Calibri" w:hAnsi="Calibri"/>
                <w:color w:val="333333"/>
                <w:sz w:val="17"/>
              </w:rPr>
              <w:t>Shipper</w:t>
            </w:r>
          </w:p>
        </w:tc>
        <w:tc>
          <w:tcPr>
            <w:tcW w:type="dxa" w:w="4608"/>
            <w:shd w:fill="FFFFFF"/>
            <w:tcMar>
              <w:top w:w="60" w:type="dxa"/>
              <w:bottom w:w="60" w:type="dxa"/>
              <w:left w:w="100" w:type="dxa"/>
              <w:right w:w="100" w:type="dxa"/>
            </w:tcMar>
          </w:tcPr>
          <w:p>
            <w:r>
              <w:rPr>
                <w:rFonts w:ascii="Calibri" w:hAnsi="Calibri"/>
                <w:color w:val="333333"/>
                <w:sz w:val="17"/>
              </w:rPr>
              <w:t>Dokumen angkutan udara. Bersifat non-negotiable (bukan dokumen hak milik, melainkan tanda terima angkutan).</w:t>
            </w:r>
          </w:p>
        </w:tc>
      </w:tr>
      <w:tr>
        <w:tc>
          <w:tcPr>
            <w:tcW w:type="dxa" w:w="1872"/>
            <w:shd w:fill="F8FAFC"/>
            <w:tcMar>
              <w:top w:w="60" w:type="dxa"/>
              <w:bottom w:w="60" w:type="dxa"/>
              <w:left w:w="100" w:type="dxa"/>
              <w:right w:w="100" w:type="dxa"/>
            </w:tcMar>
          </w:tcPr>
          <w:p>
            <w:r>
              <w:rPr>
                <w:rFonts w:ascii="Calibri" w:hAnsi="Calibri"/>
                <w:color w:val="333333"/>
                <w:sz w:val="17"/>
              </w:rPr>
              <w:t>Shipping Instruction (SI)</w:t>
            </w:r>
          </w:p>
        </w:tc>
        <w:tc>
          <w:tcPr>
            <w:tcW w:type="dxa" w:w="1728"/>
            <w:shd w:fill="F8FAFC"/>
            <w:tcMar>
              <w:top w:w="60" w:type="dxa"/>
              <w:bottom w:w="60" w:type="dxa"/>
              <w:left w:w="100" w:type="dxa"/>
              <w:right w:w="100" w:type="dxa"/>
            </w:tcMar>
          </w:tcPr>
          <w:p>
            <w:r>
              <w:rPr>
                <w:rFonts w:ascii="Calibri" w:hAnsi="Calibri"/>
                <w:color w:val="333333"/>
                <w:sz w:val="17"/>
              </w:rPr>
              <w:t>Shipper</w:t>
            </w:r>
          </w:p>
        </w:tc>
        <w:tc>
          <w:tcPr>
            <w:tcW w:type="dxa" w:w="1584"/>
            <w:shd w:fill="F8FAFC"/>
            <w:tcMar>
              <w:top w:w="60" w:type="dxa"/>
              <w:bottom w:w="60" w:type="dxa"/>
              <w:left w:w="100" w:type="dxa"/>
              <w:right w:w="100" w:type="dxa"/>
            </w:tcMar>
          </w:tcPr>
          <w:p>
            <w:r>
              <w:rPr>
                <w:rFonts w:ascii="Calibri" w:hAnsi="Calibri"/>
                <w:color w:val="333333"/>
                <w:sz w:val="17"/>
              </w:rPr>
              <w:t>Forwarder</w:t>
            </w:r>
          </w:p>
        </w:tc>
        <w:tc>
          <w:tcPr>
            <w:tcW w:type="dxa" w:w="4608"/>
            <w:shd w:fill="F8FAFC"/>
            <w:tcMar>
              <w:top w:w="60" w:type="dxa"/>
              <w:bottom w:w="60" w:type="dxa"/>
              <w:left w:w="100" w:type="dxa"/>
              <w:right w:w="100" w:type="dxa"/>
            </w:tcMar>
          </w:tcPr>
          <w:p>
            <w:r>
              <w:rPr>
                <w:rFonts w:ascii="Calibri" w:hAnsi="Calibri"/>
                <w:color w:val="333333"/>
                <w:sz w:val="17"/>
              </w:rPr>
              <w:t>Instruksi tertulis rincian muatan yang menjadi input pembuatan draf B/L sebelum final cut-off time.</w:t>
            </w:r>
          </w:p>
        </w:tc>
      </w:tr>
    </w:tbl>
    <w:p>
      <w:pPr>
        <w:spacing w:after="60"/>
      </w:pPr>
    </w:p>
    <w:p>
      <w:pPr>
        <w:pStyle w:val="Heading1"/>
        <w:keepNext/>
        <w:spacing w:before="280" w:after="80"/>
      </w:pPr>
      <w:r>
        <w:rPr>
          <w:rFonts w:ascii="Calibri" w:hAnsi="Calibri"/>
          <w:color w:val="1E3A8A"/>
          <w:sz w:val="30"/>
        </w:rPr>
        <w:t>3. State Machine &amp; Event-Driven Milestone Tracking</w:t>
      </w:r>
    </w:p>
    <w:p>
      <w:pPr>
        <w:spacing w:before="0" w:after="60" w:line="276" w:lineRule="auto"/>
      </w:pPr>
      <w:r>
        <w:rPr>
          <w:rFonts w:ascii="Calibri" w:hAnsi="Calibri"/>
          <w:i w:val="0"/>
          <w:color w:val="333333"/>
          <w:sz w:val="20"/>
        </w:rPr>
        <w:t>Pergerakan kargo bersifat asinkron dan berlangsung selama berminggu-minggu. Backend harus mengimplementasikan Finite State Machine (FSM) yang mencegah anomali data:</w:t>
      </w:r>
    </w:p>
    <w:p>
      <w:pPr>
        <w:pStyle w:val="ListBullet"/>
        <w:spacing w:before="0" w:after="40" w:line="276" w:lineRule="auto"/>
      </w:pPr>
      <w:r>
        <w:rPr>
          <w:rFonts w:ascii="Calibri" w:hAnsi="Calibri"/>
          <w:b/>
          <w:color w:val="1E1E1E"/>
          <w:sz w:val="20"/>
        </w:rPr>
        <w:t xml:space="preserve">Alur Status Ocean FCL: </w:t>
      </w:r>
      <w:r>
        <w:rPr>
          <w:rFonts w:ascii="Calibri" w:hAnsi="Calibri"/>
          <w:color w:val="333333"/>
          <w:sz w:val="20"/>
        </w:rPr>
        <w:t>DRAFT -&gt; BOOKING_CONFIRMED -&gt; EMPTY_CONTAINER_PICKED -&gt; GATED_IN_ORIGIN (CY) -&gt; LOADED_ON_VESSEL -&gt; DEPARTED (POL) -&gt; IN_TRANSIT -&gt; DISCHARGED (POD) -&gt; CUSTOMS_RELEASED -&gt; GATED_OUT_DESTINATION -&gt; DELIVERED_CONSIGNEE -&gt; EMPTY_RETURNED.</w:t>
      </w:r>
    </w:p>
    <w:p>
      <w:pPr>
        <w:pStyle w:val="ListBullet"/>
        <w:spacing w:before="0" w:after="40" w:line="276" w:lineRule="auto"/>
      </w:pPr>
      <w:r>
        <w:rPr>
          <w:rFonts w:ascii="Calibri" w:hAnsi="Calibri"/>
          <w:b/>
          <w:color w:val="1E1E1E"/>
          <w:sz w:val="20"/>
        </w:rPr>
        <w:t xml:space="preserve">Tantangan Concurrency Webhook: </w:t>
      </w:r>
      <w:r>
        <w:rPr>
          <w:rFonts w:ascii="Calibri" w:hAnsi="Calibri"/>
          <w:color w:val="333333"/>
          <w:sz w:val="20"/>
        </w:rPr>
        <w:t>Sistem tracking pihak ketiga sering mengirim webhook tidak berurutan (misal: webhook Gate-Out tiba lebih cepat daripada Gate-In akibat network retry). Backend wajib memvalidasi event timestamp aktual (EventOccurrenceTime) dan bukan timestamp penerimaan webhook.</w:t>
      </w:r>
    </w:p>
    <w:p>
      <w:pPr>
        <w:pStyle w:val="Heading1"/>
        <w:keepNext/>
        <w:spacing w:before="280" w:after="80"/>
      </w:pPr>
      <w:r>
        <w:rPr>
          <w:rFonts w:ascii="Calibri" w:hAnsi="Calibri"/>
          <w:color w:val="1E3A8A"/>
          <w:sz w:val="30"/>
        </w:rPr>
        <w:t>4. Integrasi Enterprise: CargoWise eAdaptor &amp; Bea Cukai</w:t>
      </w:r>
    </w:p>
    <w:p>
      <w:pPr>
        <w:spacing w:before="0" w:after="60" w:line="276" w:lineRule="auto"/>
      </w:pPr>
      <w:r>
        <w:rPr>
          <w:rFonts w:ascii="Calibri" w:hAnsi="Calibri"/>
          <w:i w:val="0"/>
          <w:color w:val="333333"/>
          <w:sz w:val="20"/>
        </w:rPr>
        <w:t>FMS enterprise di perusahaan logistik kelas dunia hampir selalu terintegrasi dengan ekosistem CargoWise (WiseTech Global).</w:t>
      </w:r>
    </w:p>
    <w:p>
      <w:pPr>
        <w:pStyle w:val="ListBullet"/>
        <w:spacing w:before="0" w:after="40" w:line="276" w:lineRule="auto"/>
      </w:pPr>
      <w:r>
        <w:rPr>
          <w:rFonts w:ascii="Calibri" w:hAnsi="Calibri"/>
          <w:b/>
          <w:color w:val="1E1E1E"/>
          <w:sz w:val="20"/>
        </w:rPr>
        <w:t xml:space="preserve">CargoWise eAdaptor Architecture: </w:t>
      </w:r>
      <w:r>
        <w:rPr>
          <w:rFonts w:ascii="Calibri" w:hAnsi="Calibri"/>
          <w:color w:val="333333"/>
          <w:sz w:val="20"/>
        </w:rPr>
        <w:t>Modul integrasi B2B resmi CargoWise yang menggunakan protokol XML/SOAP atau REST webhook. Dokumen standar yang dipertukarkan adalah UniversalShipment (format XML kompleks yang mencakup informasi order, booking, kontainer, milestones, dan invoice).</w:t>
      </w:r>
    </w:p>
    <w:p>
      <w:pPr>
        <w:pStyle w:val="ListBullet"/>
        <w:spacing w:before="0" w:after="40" w:line="276" w:lineRule="auto"/>
      </w:pPr>
      <w:r>
        <w:rPr>
          <w:rFonts w:ascii="Calibri" w:hAnsi="Calibri"/>
          <w:b/>
          <w:color w:val="1E1E1E"/>
          <w:sz w:val="20"/>
        </w:rPr>
        <w:t xml:space="preserve">CEISA 4.0 Bea Cukai Indonesia: </w:t>
      </w:r>
      <w:r>
        <w:rPr>
          <w:rFonts w:ascii="Calibri" w:hAnsi="Calibri"/>
          <w:color w:val="333333"/>
          <w:sz w:val="20"/>
        </w:rPr>
        <w:t>Integrasi pengajuan dokumen pabean ekspor (PEB) dan impor (PIB) melalui API resmi Bea Cukai menggunakan pertukaran data JSON/XML terenkripsi.</w:t>
      </w:r>
    </w:p>
    <w:p>
      <w:pPr>
        <w:pStyle w:val="Heading1"/>
        <w:keepNext/>
        <w:spacing w:before="280" w:after="80"/>
      </w:pPr>
      <w:r>
        <w:rPr>
          <w:rFonts w:ascii="Calibri" w:hAnsi="Calibri"/>
          <w:color w:val="1E3A8A"/>
          <w:sz w:val="30"/>
        </w:rPr>
        <w:t>5. Deep-Dive: .NET &amp; Ekosistem Microsoft untuk FMS</w:t>
      </w:r>
    </w:p>
    <w:p>
      <w:pPr>
        <w:spacing w:before="0" w:after="60" w:line="276" w:lineRule="auto"/>
      </w:pPr>
      <w:r>
        <w:rPr>
          <w:rFonts w:ascii="Calibri" w:hAnsi="Calibri"/>
          <w:i w:val="0"/>
          <w:color w:val="333333"/>
          <w:sz w:val="20"/>
        </w:rPr>
        <w:t>Sektor logistik global memilih .NET karena stabilitas type safety, integrasi native dengan Windows/Office, serta performa runtime modern yang sangat tinggi pada .NET 8 dan .NET 9.</w:t>
      </w:r>
    </w:p>
    <w:p>
      <w:pPr>
        <w:pStyle w:val="Heading2"/>
        <w:keepNext/>
        <w:spacing w:before="200" w:after="60"/>
      </w:pPr>
      <w:r>
        <w:rPr>
          <w:rFonts w:ascii="Calibri" w:hAnsi="Calibri"/>
          <w:color w:val="334155"/>
          <w:sz w:val="25"/>
        </w:rPr>
        <w:t>A. Pemetaan Konsep: Go / TypeScript ke C# &amp; .NET</w:t>
      </w:r>
    </w:p>
    <w:p>
      <w:pPr>
        <w:spacing w:before="0" w:after="60" w:line="276" w:lineRule="auto"/>
      </w:pPr>
      <w:r>
        <w:rPr>
          <w:rFonts w:ascii="Calibri" w:hAnsi="Calibri"/>
          <w:i w:val="0"/>
          <w:color w:val="333333"/>
          <w:sz w:val="20"/>
        </w:rPr>
        <w:t>Sebagai engineer dengan latar belakang Go dan TypeScript, berikut jembatan mental yang perlu dipahami:</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584"/>
            <w:shd w:fill="1E3A8A"/>
            <w:tcMar>
              <w:top w:w="80" w:type="dxa"/>
              <w:bottom w:w="80" w:type="dxa"/>
              <w:left w:w="100" w:type="dxa"/>
              <w:right w:w="100" w:type="dxa"/>
            </w:tcMar>
          </w:tcPr>
          <w:p>
            <w:pPr>
              <w:jc w:val="center"/>
            </w:pPr>
            <w:r>
              <w:rPr>
                <w:rFonts w:ascii="Calibri" w:hAnsi="Calibri"/>
                <w:b/>
                <w:color w:val="FFFFFF"/>
                <w:sz w:val="18"/>
              </w:rPr>
              <w:t>Aspek Backend</w:t>
            </w:r>
          </w:p>
        </w:tc>
        <w:tc>
          <w:tcPr>
            <w:tcW w:type="dxa" w:w="1728"/>
            <w:shd w:fill="1E3A8A"/>
            <w:tcMar>
              <w:top w:w="80" w:type="dxa"/>
              <w:bottom w:w="80" w:type="dxa"/>
              <w:left w:w="100" w:type="dxa"/>
              <w:right w:w="100" w:type="dxa"/>
            </w:tcMar>
          </w:tcPr>
          <w:p>
            <w:pPr>
              <w:jc w:val="center"/>
            </w:pPr>
            <w:r>
              <w:rPr>
                <w:rFonts w:ascii="Calibri" w:hAnsi="Calibri"/>
                <w:b/>
                <w:color w:val="FFFFFF"/>
                <w:sz w:val="18"/>
              </w:rPr>
              <w:t>Konsep di Go</w:t>
            </w:r>
          </w:p>
        </w:tc>
        <w:tc>
          <w:tcPr>
            <w:tcW w:type="dxa" w:w="1872"/>
            <w:shd w:fill="1E3A8A"/>
            <w:tcMar>
              <w:top w:w="80" w:type="dxa"/>
              <w:bottom w:w="80" w:type="dxa"/>
              <w:left w:w="100" w:type="dxa"/>
              <w:right w:w="100" w:type="dxa"/>
            </w:tcMar>
          </w:tcPr>
          <w:p>
            <w:pPr>
              <w:jc w:val="center"/>
            </w:pPr>
            <w:r>
              <w:rPr>
                <w:rFonts w:ascii="Calibri" w:hAnsi="Calibri"/>
                <w:b/>
                <w:color w:val="FFFFFF"/>
                <w:sz w:val="18"/>
              </w:rPr>
              <w:t>Setara di C# / .NET 8+</w:t>
            </w:r>
          </w:p>
        </w:tc>
        <w:tc>
          <w:tcPr>
            <w:tcW w:type="dxa" w:w="4608"/>
            <w:shd w:fill="1E3A8A"/>
            <w:tcMar>
              <w:top w:w="80" w:type="dxa"/>
              <w:bottom w:w="80" w:type="dxa"/>
              <w:left w:w="100" w:type="dxa"/>
              <w:right w:w="100" w:type="dxa"/>
            </w:tcMar>
          </w:tcPr>
          <w:p>
            <w:pPr>
              <w:jc w:val="center"/>
            </w:pPr>
            <w:r>
              <w:rPr>
                <w:rFonts w:ascii="Calibri" w:hAnsi="Calibri"/>
                <w:b/>
                <w:color w:val="FFFFFF"/>
                <w:sz w:val="18"/>
              </w:rPr>
              <w:t>Catatan &amp; Perbedaan Praktis</w:t>
            </w:r>
          </w:p>
        </w:tc>
      </w:tr>
      <w:tr>
        <w:tc>
          <w:tcPr>
            <w:tcW w:type="dxa" w:w="1584"/>
            <w:shd w:fill="FFFFFF"/>
            <w:tcMar>
              <w:top w:w="60" w:type="dxa"/>
              <w:bottom w:w="60" w:type="dxa"/>
              <w:left w:w="100" w:type="dxa"/>
              <w:right w:w="100" w:type="dxa"/>
            </w:tcMar>
          </w:tcPr>
          <w:p>
            <w:r>
              <w:rPr>
                <w:rFonts w:ascii="Calibri" w:hAnsi="Calibri"/>
                <w:color w:val="333333"/>
                <w:sz w:val="17"/>
              </w:rPr>
              <w:t>Concurrency</w:t>
            </w:r>
          </w:p>
        </w:tc>
        <w:tc>
          <w:tcPr>
            <w:tcW w:type="dxa" w:w="1728"/>
            <w:shd w:fill="FFFFFF"/>
            <w:tcMar>
              <w:top w:w="60" w:type="dxa"/>
              <w:bottom w:w="60" w:type="dxa"/>
              <w:left w:w="100" w:type="dxa"/>
              <w:right w:w="100" w:type="dxa"/>
            </w:tcMar>
          </w:tcPr>
          <w:p>
            <w:r>
              <w:rPr>
                <w:rFonts w:ascii="Calibri" w:hAnsi="Calibri"/>
                <w:color w:val="333333"/>
                <w:sz w:val="17"/>
              </w:rPr>
              <w:t>Goroutine &amp; Channels</w:t>
            </w:r>
          </w:p>
        </w:tc>
        <w:tc>
          <w:tcPr>
            <w:tcW w:type="dxa" w:w="1872"/>
            <w:shd w:fill="FFFFFF"/>
            <w:tcMar>
              <w:top w:w="60" w:type="dxa"/>
              <w:bottom w:w="60" w:type="dxa"/>
              <w:left w:w="100" w:type="dxa"/>
              <w:right w:w="100" w:type="dxa"/>
            </w:tcMar>
          </w:tcPr>
          <w:p>
            <w:r>
              <w:rPr>
                <w:rFonts w:ascii="Calibri" w:hAnsi="Calibri"/>
                <w:color w:val="333333"/>
                <w:sz w:val="17"/>
              </w:rPr>
              <w:t>async / await, Task, Channel&lt;T&gt;</w:t>
            </w:r>
          </w:p>
        </w:tc>
        <w:tc>
          <w:tcPr>
            <w:tcW w:type="dxa" w:w="4608"/>
            <w:shd w:fill="FFFFFF"/>
            <w:tcMar>
              <w:top w:w="60" w:type="dxa"/>
              <w:bottom w:w="60" w:type="dxa"/>
              <w:left w:w="100" w:type="dxa"/>
              <w:right w:w="100" w:type="dxa"/>
            </w:tcMar>
          </w:tcPr>
          <w:p>
            <w:r>
              <w:rPr>
                <w:rFonts w:ascii="Calibri" w:hAnsi="Calibri"/>
                <w:color w:val="333333"/>
                <w:sz w:val="17"/>
              </w:rPr>
              <w:t>C# menggunakan ThreadPool terkelola. Tidak blocking thread OS.</w:t>
            </w:r>
          </w:p>
        </w:tc>
      </w:tr>
      <w:tr>
        <w:tc>
          <w:tcPr>
            <w:tcW w:type="dxa" w:w="1584"/>
            <w:shd w:fill="F8FAFC"/>
            <w:tcMar>
              <w:top w:w="60" w:type="dxa"/>
              <w:bottom w:w="60" w:type="dxa"/>
              <w:left w:w="100" w:type="dxa"/>
              <w:right w:w="100" w:type="dxa"/>
            </w:tcMar>
          </w:tcPr>
          <w:p>
            <w:r>
              <w:rPr>
                <w:rFonts w:ascii="Calibri" w:hAnsi="Calibri"/>
                <w:color w:val="333333"/>
                <w:sz w:val="17"/>
              </w:rPr>
              <w:t>Data Model</w:t>
            </w:r>
          </w:p>
        </w:tc>
        <w:tc>
          <w:tcPr>
            <w:tcW w:type="dxa" w:w="1728"/>
            <w:shd w:fill="F8FAFC"/>
            <w:tcMar>
              <w:top w:w="60" w:type="dxa"/>
              <w:bottom w:w="60" w:type="dxa"/>
              <w:left w:w="100" w:type="dxa"/>
              <w:right w:w="100" w:type="dxa"/>
            </w:tcMar>
          </w:tcPr>
          <w:p>
            <w:r>
              <w:rPr>
                <w:rFonts w:ascii="Calibri" w:hAnsi="Calibri"/>
                <w:color w:val="333333"/>
                <w:sz w:val="17"/>
              </w:rPr>
              <w:t>struct &amp; interface</w:t>
            </w:r>
          </w:p>
        </w:tc>
        <w:tc>
          <w:tcPr>
            <w:tcW w:type="dxa" w:w="1872"/>
            <w:shd w:fill="F8FAFC"/>
            <w:tcMar>
              <w:top w:w="60" w:type="dxa"/>
              <w:bottom w:w="60" w:type="dxa"/>
              <w:left w:w="100" w:type="dxa"/>
              <w:right w:w="100" w:type="dxa"/>
            </w:tcMar>
          </w:tcPr>
          <w:p>
            <w:r>
              <w:rPr>
                <w:rFonts w:ascii="Calibri" w:hAnsi="Calibri"/>
                <w:color w:val="333333"/>
                <w:sz w:val="17"/>
              </w:rPr>
              <w:t>record, class, interface</w:t>
            </w:r>
          </w:p>
        </w:tc>
        <w:tc>
          <w:tcPr>
            <w:tcW w:type="dxa" w:w="4608"/>
            <w:shd w:fill="F8FAFC"/>
            <w:tcMar>
              <w:top w:w="60" w:type="dxa"/>
              <w:bottom w:w="60" w:type="dxa"/>
              <w:left w:w="100" w:type="dxa"/>
              <w:right w:w="100" w:type="dxa"/>
            </w:tcMar>
          </w:tcPr>
          <w:p>
            <w:r>
              <w:rPr>
                <w:rFonts w:ascii="Calibri" w:hAnsi="Calibri"/>
                <w:color w:val="333333"/>
                <w:sz w:val="17"/>
              </w:rPr>
              <w:t>C# record memberikan immutability dan value-equality otomatis.</w:t>
            </w:r>
          </w:p>
        </w:tc>
      </w:tr>
      <w:tr>
        <w:tc>
          <w:tcPr>
            <w:tcW w:type="dxa" w:w="1584"/>
            <w:shd w:fill="FFFFFF"/>
            <w:tcMar>
              <w:top w:w="60" w:type="dxa"/>
              <w:bottom w:w="60" w:type="dxa"/>
              <w:left w:w="100" w:type="dxa"/>
              <w:right w:w="100" w:type="dxa"/>
            </w:tcMar>
          </w:tcPr>
          <w:p>
            <w:r>
              <w:rPr>
                <w:rFonts w:ascii="Calibri" w:hAnsi="Calibri"/>
                <w:color w:val="333333"/>
                <w:sz w:val="17"/>
              </w:rPr>
              <w:t>Database Access</w:t>
            </w:r>
          </w:p>
        </w:tc>
        <w:tc>
          <w:tcPr>
            <w:tcW w:type="dxa" w:w="1728"/>
            <w:shd w:fill="FFFFFF"/>
            <w:tcMar>
              <w:top w:w="60" w:type="dxa"/>
              <w:bottom w:w="60" w:type="dxa"/>
              <w:left w:w="100" w:type="dxa"/>
              <w:right w:w="100" w:type="dxa"/>
            </w:tcMar>
          </w:tcPr>
          <w:p>
            <w:r>
              <w:rPr>
                <w:rFonts w:ascii="Calibri" w:hAnsi="Calibri"/>
                <w:color w:val="333333"/>
                <w:sz w:val="17"/>
              </w:rPr>
              <w:t>pgx (Raw SQL) / GORM</w:t>
            </w:r>
          </w:p>
        </w:tc>
        <w:tc>
          <w:tcPr>
            <w:tcW w:type="dxa" w:w="1872"/>
            <w:shd w:fill="FFFFFF"/>
            <w:tcMar>
              <w:top w:w="60" w:type="dxa"/>
              <w:bottom w:w="60" w:type="dxa"/>
              <w:left w:w="100" w:type="dxa"/>
              <w:right w:w="100" w:type="dxa"/>
            </w:tcMar>
          </w:tcPr>
          <w:p>
            <w:r>
              <w:rPr>
                <w:rFonts w:ascii="Calibri" w:hAnsi="Calibri"/>
                <w:color w:val="333333"/>
                <w:sz w:val="17"/>
              </w:rPr>
              <w:t>EF Core / Dapper</w:t>
            </w:r>
          </w:p>
        </w:tc>
        <w:tc>
          <w:tcPr>
            <w:tcW w:type="dxa" w:w="4608"/>
            <w:shd w:fill="FFFFFF"/>
            <w:tcMar>
              <w:top w:w="60" w:type="dxa"/>
              <w:bottom w:w="60" w:type="dxa"/>
              <w:left w:w="100" w:type="dxa"/>
              <w:right w:w="100" w:type="dxa"/>
            </w:tcMar>
          </w:tcPr>
          <w:p>
            <w:r>
              <w:rPr>
                <w:rFonts w:ascii="Calibri" w:hAnsi="Calibri"/>
                <w:color w:val="333333"/>
                <w:sz w:val="17"/>
              </w:rPr>
              <w:t>Dapper setara dengan raw SQL berkecepatan tinggi; EF Core adalah ORM enterprise.</w:t>
            </w:r>
          </w:p>
        </w:tc>
      </w:tr>
      <w:tr>
        <w:tc>
          <w:tcPr>
            <w:tcW w:type="dxa" w:w="1584"/>
            <w:shd w:fill="F8FAFC"/>
            <w:tcMar>
              <w:top w:w="60" w:type="dxa"/>
              <w:bottom w:w="60" w:type="dxa"/>
              <w:left w:w="100" w:type="dxa"/>
              <w:right w:w="100" w:type="dxa"/>
            </w:tcMar>
          </w:tcPr>
          <w:p>
            <w:r>
              <w:rPr>
                <w:rFonts w:ascii="Calibri" w:hAnsi="Calibri"/>
                <w:color w:val="333333"/>
                <w:sz w:val="17"/>
              </w:rPr>
              <w:t>Dependency Injection</w:t>
            </w:r>
          </w:p>
        </w:tc>
        <w:tc>
          <w:tcPr>
            <w:tcW w:type="dxa" w:w="1728"/>
            <w:shd w:fill="F8FAFC"/>
            <w:tcMar>
              <w:top w:w="60" w:type="dxa"/>
              <w:bottom w:w="60" w:type="dxa"/>
              <w:left w:w="100" w:type="dxa"/>
              <w:right w:w="100" w:type="dxa"/>
            </w:tcMar>
          </w:tcPr>
          <w:p>
            <w:r>
              <w:rPr>
                <w:rFonts w:ascii="Calibri" w:hAnsi="Calibri"/>
                <w:color w:val="333333"/>
                <w:sz w:val="17"/>
              </w:rPr>
              <w:t>Manual wire / wire.go</w:t>
            </w:r>
          </w:p>
        </w:tc>
        <w:tc>
          <w:tcPr>
            <w:tcW w:type="dxa" w:w="1872"/>
            <w:shd w:fill="F8FAFC"/>
            <w:tcMar>
              <w:top w:w="60" w:type="dxa"/>
              <w:bottom w:w="60" w:type="dxa"/>
              <w:left w:w="100" w:type="dxa"/>
              <w:right w:w="100" w:type="dxa"/>
            </w:tcMar>
          </w:tcPr>
          <w:p>
            <w:r>
              <w:rPr>
                <w:rFonts w:ascii="Calibri" w:hAnsi="Calibri"/>
                <w:color w:val="333333"/>
                <w:sz w:val="17"/>
              </w:rPr>
              <w:t>Microsoft.Extensions.DependencyInjection</w:t>
            </w:r>
          </w:p>
        </w:tc>
        <w:tc>
          <w:tcPr>
            <w:tcW w:type="dxa" w:w="4608"/>
            <w:shd w:fill="F8FAFC"/>
            <w:tcMar>
              <w:top w:w="60" w:type="dxa"/>
              <w:bottom w:w="60" w:type="dxa"/>
              <w:left w:w="100" w:type="dxa"/>
              <w:right w:w="100" w:type="dxa"/>
            </w:tcMar>
          </w:tcPr>
          <w:p>
            <w:r>
              <w:rPr>
                <w:rFonts w:ascii="Calibri" w:hAnsi="Calibri"/>
                <w:color w:val="333333"/>
                <w:sz w:val="17"/>
              </w:rPr>
              <w:t>Built-in ke ASP.NET Core via IServiceCollection (Scoped, Transient, Singleton).</w:t>
            </w:r>
          </w:p>
        </w:tc>
      </w:tr>
      <w:tr>
        <w:tc>
          <w:tcPr>
            <w:tcW w:type="dxa" w:w="1584"/>
            <w:shd w:fill="FFFFFF"/>
            <w:tcMar>
              <w:top w:w="60" w:type="dxa"/>
              <w:bottom w:w="60" w:type="dxa"/>
              <w:left w:w="100" w:type="dxa"/>
              <w:right w:w="100" w:type="dxa"/>
            </w:tcMar>
          </w:tcPr>
          <w:p>
            <w:r>
              <w:rPr>
                <w:rFonts w:ascii="Calibri" w:hAnsi="Calibri"/>
                <w:color w:val="333333"/>
                <w:sz w:val="17"/>
              </w:rPr>
              <w:t>Cancellation</w:t>
            </w:r>
          </w:p>
        </w:tc>
        <w:tc>
          <w:tcPr>
            <w:tcW w:type="dxa" w:w="1728"/>
            <w:shd w:fill="FFFFFF"/>
            <w:tcMar>
              <w:top w:w="60" w:type="dxa"/>
              <w:bottom w:w="60" w:type="dxa"/>
              <w:left w:w="100" w:type="dxa"/>
              <w:right w:w="100" w:type="dxa"/>
            </w:tcMar>
          </w:tcPr>
          <w:p>
            <w:r>
              <w:rPr>
                <w:rFonts w:ascii="Calibri" w:hAnsi="Calibri"/>
                <w:color w:val="333333"/>
                <w:sz w:val="17"/>
              </w:rPr>
              <w:t>ctx context.Context</w:t>
            </w:r>
          </w:p>
        </w:tc>
        <w:tc>
          <w:tcPr>
            <w:tcW w:type="dxa" w:w="1872"/>
            <w:shd w:fill="FFFFFF"/>
            <w:tcMar>
              <w:top w:w="60" w:type="dxa"/>
              <w:bottom w:w="60" w:type="dxa"/>
              <w:left w:w="100" w:type="dxa"/>
              <w:right w:w="100" w:type="dxa"/>
            </w:tcMar>
          </w:tcPr>
          <w:p>
            <w:r>
              <w:rPr>
                <w:rFonts w:ascii="Calibri" w:hAnsi="Calibri"/>
                <w:color w:val="333333"/>
                <w:sz w:val="17"/>
              </w:rPr>
              <w:t>CancellationToken ct</w:t>
            </w:r>
          </w:p>
        </w:tc>
        <w:tc>
          <w:tcPr>
            <w:tcW w:type="dxa" w:w="4608"/>
            <w:shd w:fill="FFFFFF"/>
            <w:tcMar>
              <w:top w:w="60" w:type="dxa"/>
              <w:bottom w:w="60" w:type="dxa"/>
              <w:left w:w="100" w:type="dxa"/>
              <w:right w:w="100" w:type="dxa"/>
            </w:tcMar>
          </w:tcPr>
          <w:p>
            <w:r>
              <w:rPr>
                <w:rFonts w:ascii="Calibri" w:hAnsi="Calibri"/>
                <w:color w:val="333333"/>
                <w:sz w:val="17"/>
              </w:rPr>
              <w:t>Wajib di-pass ke semua method async (I/O, database, HTTP client).</w:t>
            </w:r>
          </w:p>
        </w:tc>
      </w:tr>
      <w:tr>
        <w:tc>
          <w:tcPr>
            <w:tcW w:type="dxa" w:w="1584"/>
            <w:shd w:fill="F8FAFC"/>
            <w:tcMar>
              <w:top w:w="60" w:type="dxa"/>
              <w:bottom w:w="60" w:type="dxa"/>
              <w:left w:w="100" w:type="dxa"/>
              <w:right w:w="100" w:type="dxa"/>
            </w:tcMar>
          </w:tcPr>
          <w:p>
            <w:r>
              <w:rPr>
                <w:rFonts w:ascii="Calibri" w:hAnsi="Calibri"/>
                <w:color w:val="333333"/>
                <w:sz w:val="17"/>
              </w:rPr>
              <w:t>Pipeline Middleware</w:t>
            </w:r>
          </w:p>
        </w:tc>
        <w:tc>
          <w:tcPr>
            <w:tcW w:type="dxa" w:w="1728"/>
            <w:shd w:fill="F8FAFC"/>
            <w:tcMar>
              <w:top w:w="60" w:type="dxa"/>
              <w:bottom w:w="60" w:type="dxa"/>
              <w:left w:w="100" w:type="dxa"/>
              <w:right w:w="100" w:type="dxa"/>
            </w:tcMar>
          </w:tcPr>
          <w:p>
            <w:r>
              <w:rPr>
                <w:rFonts w:ascii="Calibri" w:hAnsi="Calibri"/>
                <w:color w:val="333333"/>
                <w:sz w:val="17"/>
              </w:rPr>
              <w:t>net/http middleware</w:t>
            </w:r>
          </w:p>
        </w:tc>
        <w:tc>
          <w:tcPr>
            <w:tcW w:type="dxa" w:w="1872"/>
            <w:shd w:fill="F8FAFC"/>
            <w:tcMar>
              <w:top w:w="60" w:type="dxa"/>
              <w:bottom w:w="60" w:type="dxa"/>
              <w:left w:w="100" w:type="dxa"/>
              <w:right w:w="100" w:type="dxa"/>
            </w:tcMar>
          </w:tcPr>
          <w:p>
            <w:r>
              <w:rPr>
                <w:rFonts w:ascii="Calibri" w:hAnsi="Calibri"/>
                <w:color w:val="333333"/>
                <w:sz w:val="17"/>
              </w:rPr>
              <w:t>ASP.NET Core Middleware Pipeline</w:t>
            </w:r>
          </w:p>
        </w:tc>
        <w:tc>
          <w:tcPr>
            <w:tcW w:type="dxa" w:w="4608"/>
            <w:shd w:fill="F8FAFC"/>
            <w:tcMar>
              <w:top w:w="60" w:type="dxa"/>
              <w:bottom w:w="60" w:type="dxa"/>
              <w:left w:w="100" w:type="dxa"/>
              <w:right w:w="100" w:type="dxa"/>
            </w:tcMar>
          </w:tcPr>
          <w:p>
            <w:r>
              <w:rPr>
                <w:rFonts w:ascii="Calibri" w:hAnsi="Calibri"/>
                <w:color w:val="333333"/>
                <w:sz w:val="17"/>
              </w:rPr>
              <w:t>Mekanisme app.UseMiddleware&lt;T&gt;() untuk audit, auth, exception handler.</w:t>
            </w:r>
          </w:p>
        </w:tc>
      </w:tr>
    </w:tbl>
    <w:p>
      <w:pPr>
        <w:spacing w:after="60"/>
      </w:pPr>
    </w:p>
    <w:p>
      <w:pPr>
        <w:pStyle w:val="Heading2"/>
        <w:keepNext/>
        <w:spacing w:before="200" w:after="60"/>
      </w:pPr>
      <w:r>
        <w:rPr>
          <w:rFonts w:ascii="Calibri" w:hAnsi="Calibri"/>
          <w:color w:val="334155"/>
          <w:sz w:val="25"/>
        </w:rPr>
        <w:t>B. Pola Arsitektur Enterprise di .NET (Clean Architecture &amp; CQRS)</w:t>
      </w:r>
    </w:p>
    <w:p>
      <w:pPr>
        <w:spacing w:before="0" w:after="60" w:line="276" w:lineRule="auto"/>
      </w:pPr>
      <w:r>
        <w:rPr>
          <w:rFonts w:ascii="Calibri" w:hAnsi="Calibri"/>
          <w:i w:val="0"/>
          <w:color w:val="333333"/>
          <w:sz w:val="20"/>
        </w:rPr>
        <w:t>Proyek backend .NET enterprise modern memisahkan kode ke dalam 4 layer utama menggunakan pola CQRS (Command Query Responsibility Segregation) bersama MediatR:</w:t>
      </w:r>
    </w:p>
    <w:p>
      <w:pPr>
        <w:pStyle w:val="ListBullet"/>
        <w:spacing w:before="0" w:after="40" w:line="276" w:lineRule="auto"/>
      </w:pPr>
      <w:r>
        <w:rPr>
          <w:rFonts w:ascii="Calibri" w:hAnsi="Calibri"/>
          <w:b/>
          <w:color w:val="1E1E1E"/>
          <w:sz w:val="20"/>
        </w:rPr>
        <w:t xml:space="preserve">Domain Layer: </w:t>
      </w:r>
      <w:r>
        <w:rPr>
          <w:rFonts w:ascii="Calibri" w:hAnsi="Calibri"/>
          <w:color w:val="333333"/>
          <w:sz w:val="20"/>
        </w:rPr>
        <w:t>Pure C# tanpa dependensi luar. Berisi Entities, Value Objects, Domain Events, dan Enums status shipment.</w:t>
      </w:r>
    </w:p>
    <w:p>
      <w:pPr>
        <w:pStyle w:val="ListBullet"/>
        <w:spacing w:before="0" w:after="40" w:line="276" w:lineRule="auto"/>
      </w:pPr>
      <w:r>
        <w:rPr>
          <w:rFonts w:ascii="Calibri" w:hAnsi="Calibri"/>
          <w:b/>
          <w:color w:val="1E1E1E"/>
          <w:sz w:val="20"/>
        </w:rPr>
        <w:t xml:space="preserve">Application Layer: </w:t>
      </w:r>
      <w:r>
        <w:rPr>
          <w:rFonts w:ascii="Calibri" w:hAnsi="Calibri"/>
          <w:color w:val="333333"/>
          <w:sz w:val="20"/>
        </w:rPr>
        <w:t>Berisi use cases, MediatR Commands/Queries, DTOs, dan interface (IRepository, ICargoWiseService).</w:t>
      </w:r>
    </w:p>
    <w:p>
      <w:pPr>
        <w:pStyle w:val="ListBullet"/>
        <w:spacing w:before="0" w:after="40" w:line="276" w:lineRule="auto"/>
      </w:pPr>
      <w:r>
        <w:rPr>
          <w:rFonts w:ascii="Calibri" w:hAnsi="Calibri"/>
          <w:b/>
          <w:color w:val="1E1E1E"/>
          <w:sz w:val="20"/>
        </w:rPr>
        <w:t xml:space="preserve">Infrastructure Layer: </w:t>
      </w:r>
      <w:r>
        <w:rPr>
          <w:rFonts w:ascii="Calibri" w:hAnsi="Calibri"/>
          <w:color w:val="333333"/>
          <w:sz w:val="20"/>
        </w:rPr>
        <w:t>Implementasi EF Core DbContext, Dapper queries, client HTTP eAdaptor, Azure Service Bus / RabbitMQ consumer.</w:t>
      </w:r>
    </w:p>
    <w:p>
      <w:pPr>
        <w:pStyle w:val="ListBullet"/>
        <w:spacing w:before="0" w:after="40" w:line="276" w:lineRule="auto"/>
      </w:pPr>
      <w:r>
        <w:rPr>
          <w:rFonts w:ascii="Calibri" w:hAnsi="Calibri"/>
          <w:b/>
          <w:color w:val="1E1E1E"/>
          <w:sz w:val="20"/>
        </w:rPr>
        <w:t xml:space="preserve">API / Presentation Layer: </w:t>
      </w:r>
      <w:r>
        <w:rPr>
          <w:rFonts w:ascii="Calibri" w:hAnsi="Calibri"/>
          <w:color w:val="333333"/>
          <w:sz w:val="20"/>
        </w:rPr>
        <w:t>ASP.NET Core Controllers atau Minimal APIs, filter validasi, swagger documentation.</w:t>
      </w:r>
    </w:p>
    <w:p>
      <w:pPr>
        <w:pStyle w:val="Heading2"/>
        <w:keepNext/>
        <w:spacing w:before="200" w:after="60"/>
      </w:pPr>
      <w:r>
        <w:rPr>
          <w:rFonts w:ascii="Calibri" w:hAnsi="Calibri"/>
          <w:color w:val="334155"/>
          <w:sz w:val="25"/>
        </w:rPr>
        <w:t>C. Message Broker &amp; Resiliency (MassTransit &amp; Polly)</w:t>
      </w:r>
    </w:p>
    <w:p>
      <w:pPr>
        <w:spacing w:before="0" w:after="60" w:line="276" w:lineRule="auto"/>
      </w:pPr>
      <w:r>
        <w:rPr>
          <w:rFonts w:ascii="Calibri" w:hAnsi="Calibri"/>
          <w:i w:val="0"/>
          <w:color w:val="333333"/>
          <w:sz w:val="20"/>
        </w:rPr>
        <w:t>Untuk menangani webhook tracking logistik yang bervolume tinggi, .NET menggunakan MassTransit dan Polly:</w:t>
      </w:r>
    </w:p>
    <w:p>
      <w:pPr>
        <w:pStyle w:val="ListBullet"/>
        <w:spacing w:before="0" w:after="40" w:line="276" w:lineRule="auto"/>
      </w:pPr>
      <w:r>
        <w:rPr>
          <w:rFonts w:ascii="Calibri" w:hAnsi="Calibri"/>
          <w:b/>
          <w:color w:val="1E1E1E"/>
          <w:sz w:val="20"/>
        </w:rPr>
        <w:t xml:space="preserve">MassTransit: </w:t>
      </w:r>
      <w:r>
        <w:rPr>
          <w:rFonts w:ascii="Calibri" w:hAnsi="Calibri"/>
          <w:color w:val="333333"/>
          <w:sz w:val="20"/>
        </w:rPr>
        <w:t>Abstraksi message bus enterprise untuk Azure Service Bus atau RabbitMQ yang mendukung Transactional Outbox Pattern (menjamin pesan event terkirim meski database terputus).</w:t>
      </w:r>
    </w:p>
    <w:p>
      <w:pPr>
        <w:pStyle w:val="ListBullet"/>
        <w:spacing w:before="0" w:after="40" w:line="276" w:lineRule="auto"/>
      </w:pPr>
      <w:r>
        <w:rPr>
          <w:rFonts w:ascii="Calibri" w:hAnsi="Calibri"/>
          <w:b/>
          <w:color w:val="1E1E1E"/>
          <w:sz w:val="20"/>
        </w:rPr>
        <w:t xml:space="preserve">Polly: </w:t>
      </w:r>
      <w:r>
        <w:rPr>
          <w:rFonts w:ascii="Calibri" w:hAnsi="Calibri"/>
          <w:color w:val="333333"/>
          <w:sz w:val="20"/>
        </w:rPr>
        <w:t>Pustaka resilience &amp; transient fault handling. Mengatur retry policy dengan exponential backoff dan circuit breaker saat menembak API pelayaran atau CargoWise.</w:t>
      </w:r>
    </w:p>
    <w:p>
      <w:pPr>
        <w:pStyle w:val="Heading1"/>
        <w:keepNext/>
        <w:spacing w:before="280" w:after="80"/>
      </w:pPr>
      <w:r>
        <w:rPr>
          <w:rFonts w:ascii="Calibri" w:hAnsi="Calibri"/>
          <w:color w:val="1E3A8A"/>
          <w:sz w:val="30"/>
        </w:rPr>
        <w:t>6. Contoh Implementasi Kode Nyata dalam C#</w:t>
      </w:r>
    </w:p>
    <w:p>
      <w:pPr>
        <w:pStyle w:val="Heading2"/>
        <w:keepNext/>
        <w:spacing w:before="200" w:after="60"/>
      </w:pPr>
      <w:r>
        <w:rPr>
          <w:rFonts w:ascii="Calibri" w:hAnsi="Calibri"/>
          <w:color w:val="334155"/>
          <w:sz w:val="25"/>
        </w:rPr>
        <w:t>A. Implementasi Domain Entity &amp; Finite State Machine</w:t>
      </w:r>
    </w:p>
    <w:p>
      <w:pPr>
        <w:spacing w:before="0" w:after="60" w:line="276" w:lineRule="auto"/>
      </w:pPr>
      <w:r>
        <w:rPr>
          <w:rFonts w:ascii="Calibri" w:hAnsi="Calibri"/>
          <w:i w:val="0"/>
          <w:color w:val="333333"/>
          <w:sz w:val="20"/>
        </w:rPr>
        <w:t>Contoh implementasi entity shipment dengan validasi transisi status bisnis:</w:t>
      </w:r>
    </w:p>
    <w:tbl>
      <w:tblPr>
        <w:tblW w:type="auto" w:w="0"/>
        <w:jc w:val="center"/>
        <w:tblLayout w:type="fixed"/>
        <w:tblLook w:firstColumn="1" w:firstRow="1" w:lastColumn="0" w:lastRow="0" w:noHBand="0" w:noVBand="1" w:val="04A0"/>
      </w:tblPr>
      <w:tblGrid>
        <w:gridCol w:w="9792"/>
      </w:tblGrid>
      <w:tr>
        <w:tc>
          <w:tcPr>
            <w:tcW w:type="dxa" w:w="9936"/>
            <w:shd w:fill="1E1E1E"/>
            <w:tcMar>
              <w:top w:w="100" w:type="dxa"/>
              <w:bottom w:w="100" w:type="dxa"/>
              <w:left w:w="140" w:type="dxa"/>
              <w:right w:w="140" w:type="dxa"/>
            </w:tcMar>
          </w:tcPr>
          <w:p>
            <w:pPr>
              <w:spacing w:before="40" w:after="40" w:line="252" w:lineRule="auto"/>
            </w:pPr>
            <w:r>
              <w:rPr>
                <w:rFonts w:ascii="Consolas" w:hAnsi="Consolas"/>
                <w:color w:val="DCDCDC"/>
                <w:sz w:val="17"/>
              </w:rPr>
              <w:t>public enum ShipmentStatus</w:t>
              <w:br/>
              <w:t>{</w:t>
              <w:br/>
              <w:t xml:space="preserve">    Draft,</w:t>
              <w:br/>
              <w:t xml:space="preserve">    BookingConfirmed,</w:t>
              <w:br/>
              <w:t xml:space="preserve">    GatedInOrigin,</w:t>
              <w:br/>
              <w:t xml:space="preserve">    LoadedOnVessel,</w:t>
              <w:br/>
              <w:t xml:space="preserve">    DepartedPol,</w:t>
              <w:br/>
              <w:t xml:space="preserve">    InTransit,</w:t>
              <w:br/>
              <w:t xml:space="preserve">    DischargedPod,</w:t>
              <w:br/>
              <w:t xml:space="preserve">    CustomsCleared,</w:t>
              <w:br/>
              <w:t xml:space="preserve">    Delivered</w:t>
              <w:br/>
              <w:t>}</w:t>
              <w:br/>
              <w:br/>
              <w:t>public sealed class Shipment</w:t>
              <w:br/>
              <w:t>{</w:t>
              <w:br/>
              <w:t xml:space="preserve">    public Guid Id { get; private set; }</w:t>
              <w:br/>
              <w:t xml:space="preserve">    public string BookingNumber { get; private set; } = string.Empty;</w:t>
              <w:br/>
              <w:t xml:space="preserve">    public string? MasterBillOfLading { get; private set; }</w:t>
              <w:br/>
              <w:t xml:space="preserve">    public string? HouseBillOfLading { get; private set; }</w:t>
              <w:br/>
              <w:t xml:space="preserve">    public ShipmentStatus Status { get; private set; }</w:t>
              <w:br/>
              <w:t xml:space="preserve">    public DateTime CreatedAtUtc { get; private set; }</w:t>
              <w:br/>
              <w:br/>
              <w:t xml:space="preserve">    // Domain validation state transition</w:t>
              <w:br/>
              <w:t xml:space="preserve">    public Result UpdateStatus(ShipmentStatus newStatus, DateTime eventTimeUtc)</w:t>
              <w:br/>
              <w:t xml:space="preserve">    {</w:t>
              <w:br/>
              <w:t xml:space="preserve">        bool isValidTransition = (Status, newStatus) switch</w:t>
              <w:br/>
              <w:t xml:space="preserve">        {</w:t>
              <w:br/>
              <w:t xml:space="preserve">            (ShipmentStatus.Draft, ShipmentStatus.BookingConfirmed) =&gt; true,</w:t>
              <w:br/>
              <w:t xml:space="preserve">            (ShipmentStatus.BookingConfirmed, ShipmentStatus.GatedInOrigin) =&gt; true,</w:t>
              <w:br/>
              <w:t xml:space="preserve">            (ShipmentStatus.GatedInOrigin, ShipmentStatus.LoadedOnVessel) =&gt; true,</w:t>
              <w:br/>
              <w:t xml:space="preserve">            (ShipmentStatus.LoadedOnVessel, ShipmentStatus.DepartedPol) =&gt; true,</w:t>
              <w:br/>
              <w:t xml:space="preserve">            (ShipmentStatus.DepartedPol, ShipmentStatus.InTransit) =&gt; true,</w:t>
              <w:br/>
              <w:t xml:space="preserve">            (ShipmentStatus.InTransit, ShipmentStatus.DischargedPod) =&gt; true,</w:t>
              <w:br/>
              <w:t xml:space="preserve">            (ShipmentStatus.DischargedPod, ShipmentStatus.CustomsCleared) =&gt; true,</w:t>
              <w:br/>
              <w:t xml:space="preserve">            (ShipmentStatus.CustomsCleared, ShipmentStatus.Delivered) =&gt; true,</w:t>
              <w:br/>
              <w:t xml:space="preserve">            _ =&gt; false</w:t>
              <w:br/>
              <w:t xml:space="preserve">        };</w:t>
              <w:br/>
              <w:br/>
              <w:t xml:space="preserve">        if (!isValidTransition)</w:t>
              <w:br/>
              <w:t xml:space="preserve">            return Result.Failure($"Invalid transition from {Status} to {newStatus}");</w:t>
              <w:br/>
              <w:br/>
              <w:t xml:space="preserve">        Status = newStatus;</w:t>
              <w:br/>
              <w:t xml:space="preserve">        return Result.Success();</w:t>
              <w:br/>
              <w:t xml:space="preserve">    }</w:t>
              <w:br/>
              <w:t>}</w:t>
            </w:r>
          </w:p>
        </w:tc>
      </w:tr>
    </w:tbl>
    <w:p>
      <w:pPr>
        <w:spacing w:after="80" w:before="0"/>
      </w:pPr>
    </w:p>
    <w:p>
      <w:pPr>
        <w:pStyle w:val="Heading2"/>
        <w:keepNext/>
        <w:spacing w:before="200" w:after="60"/>
      </w:pPr>
      <w:r>
        <w:rPr>
          <w:rFonts w:ascii="Calibri" w:hAnsi="Calibri"/>
          <w:color w:val="334155"/>
          <w:sz w:val="25"/>
        </w:rPr>
        <w:t>B. Pola Idempotensi Webhook Ingestion di Controller ASP.NET Core</w:t>
      </w:r>
    </w:p>
    <w:p>
      <w:pPr>
        <w:spacing w:before="0" w:after="60" w:line="276" w:lineRule="auto"/>
      </w:pPr>
      <w:r>
        <w:rPr>
          <w:rFonts w:ascii="Calibri" w:hAnsi="Calibri"/>
          <w:i w:val="0"/>
          <w:color w:val="333333"/>
          <w:sz w:val="20"/>
        </w:rPr>
        <w:t>Penanganan webhook tracking dari pelayaran/CargoWise dengan pencegahan duplikasi data via Redis:</w:t>
      </w:r>
    </w:p>
    <w:tbl>
      <w:tblPr>
        <w:tblW w:type="auto" w:w="0"/>
        <w:jc w:val="center"/>
        <w:tblLayout w:type="fixed"/>
        <w:tblLook w:firstColumn="1" w:firstRow="1" w:lastColumn="0" w:lastRow="0" w:noHBand="0" w:noVBand="1" w:val="04A0"/>
      </w:tblPr>
      <w:tblGrid>
        <w:gridCol w:w="9792"/>
      </w:tblGrid>
      <w:tr>
        <w:tc>
          <w:tcPr>
            <w:tcW w:type="dxa" w:w="9936"/>
            <w:shd w:fill="1E1E1E"/>
            <w:tcMar>
              <w:top w:w="100" w:type="dxa"/>
              <w:bottom w:w="100" w:type="dxa"/>
              <w:left w:w="140" w:type="dxa"/>
              <w:right w:w="140" w:type="dxa"/>
            </w:tcMar>
          </w:tcPr>
          <w:p>
            <w:pPr>
              <w:spacing w:before="40" w:after="40" w:line="252" w:lineRule="auto"/>
            </w:pPr>
            <w:r>
              <w:rPr>
                <w:rFonts w:ascii="Consolas" w:hAnsi="Consolas"/>
                <w:color w:val="DCDCDC"/>
                <w:sz w:val="17"/>
              </w:rPr>
              <w:t>[ApiController]</w:t>
              <w:br/>
              <w:t>[Route("api/v1/webhooks/tracking")]</w:t>
              <w:br/>
              <w:t>public class TrackingWebhookController : ControllerBase</w:t>
              <w:br/>
              <w:t>{</w:t>
              <w:br/>
              <w:t xml:space="preserve">    private readonly IConnectionMultiplexer _redis;</w:t>
              <w:br/>
              <w:t xml:space="preserve">    private readonly ISender _mediator;</w:t>
              <w:br/>
              <w:br/>
              <w:t xml:space="preserve">    public TrackingWebhookController(IConnectionMultiplexer redis, ISender mediator)</w:t>
              <w:br/>
              <w:t xml:space="preserve">    {</w:t>
              <w:br/>
              <w:t xml:space="preserve">        _redis = redis;</w:t>
              <w:br/>
              <w:t xml:space="preserve">        _mediator = mediator;</w:t>
              <w:br/>
              <w:t xml:space="preserve">    }</w:t>
              <w:br/>
              <w:br/>
              <w:t xml:space="preserve">    [HttpPost]</w:t>
              <w:br/>
              <w:t xml:space="preserve">    public async Task&lt;IActionResult&gt; IngestMilestone([FromBody] MilestoneWebhookDto dto, CancellationToken ct)</w:t>
              <w:br/>
              <w:t xml:space="preserve">    {</w:t>
              <w:br/>
              <w:t xml:space="preserve">        var db = _redis.GetDatabase();</w:t>
              <w:br/>
              <w:t xml:space="preserve">        string lockKey = $"lock:milestone:{dto.ContainerNumber}:{dto.MilestoneCode}";</w:t>
              <w:br/>
              <w:br/>
              <w:t xml:space="preserve">        // Idempotency check: SetNX dengan TTL 24 jam</w:t>
              <w:br/>
              <w:t xml:space="preserve">        bool acquired = await db.StringSetAsync(lockKey, "PROCESSED", TimeSpan.FromHours(24), When.NotExists);</w:t>
              <w:br/>
              <w:t xml:space="preserve">        if (!acquired)</w:t>
              <w:br/>
              <w:t xml:space="preserve">        {</w:t>
              <w:br/>
              <w:t xml:space="preserve">            // Webhook sudah pernah diproses sebelumnya (Idempotent response)</w:t>
              <w:br/>
              <w:t xml:space="preserve">            return Ok(new { status = "IGNORED_DUPLICATE", eventId = dto.EventId });</w:t>
              <w:br/>
              <w:t xml:space="preserve">        }</w:t>
              <w:br/>
              <w:br/>
              <w:t xml:space="preserve">        var command = new ProcessMilestoneCommand(dto.ContainerNumber, dto.MilestoneCode, dto.EventTimeUtc);</w:t>
              <w:br/>
              <w:t xml:space="preserve">        var result = await _mediator.Send(command, ct);</w:t>
              <w:br/>
              <w:br/>
              <w:t xml:space="preserve">        return result.IsSuccess ? Ok(new { status = "PROCESSED" }) : BadRequest(result.Error);</w:t>
              <w:br/>
              <w:t xml:space="preserve">    }</w:t>
              <w:br/>
              <w:t>}</w:t>
            </w:r>
          </w:p>
        </w:tc>
      </w:tr>
    </w:tbl>
    <w:p>
      <w:pPr>
        <w:spacing w:after="80" w:before="0"/>
      </w:pPr>
    </w:p>
    <w:p>
      <w:pPr>
        <w:pStyle w:val="Heading2"/>
        <w:keepNext/>
        <w:spacing w:before="200" w:after="60"/>
      </w:pPr>
      <w:r>
        <w:rPr>
          <w:rFonts w:ascii="Calibri" w:hAnsi="Calibri"/>
          <w:color w:val="334155"/>
          <w:sz w:val="25"/>
        </w:rPr>
        <w:t>C. Deserialisasi XML CargoWise eAdaptor UniversalShipment</w:t>
      </w:r>
    </w:p>
    <w:p>
      <w:pPr>
        <w:spacing w:before="0" w:after="60" w:line="276" w:lineRule="auto"/>
      </w:pPr>
      <w:r>
        <w:rPr>
          <w:rFonts w:ascii="Calibri" w:hAnsi="Calibri"/>
          <w:i w:val="0"/>
          <w:color w:val="333333"/>
          <w:sz w:val="20"/>
        </w:rPr>
        <w:t>Mengurai dokumen XML kompleks eAdaptor menggunakan XmlSerializer C#:</w:t>
      </w:r>
    </w:p>
    <w:tbl>
      <w:tblPr>
        <w:tblW w:type="auto" w:w="0"/>
        <w:jc w:val="center"/>
        <w:tblLayout w:type="fixed"/>
        <w:tblLook w:firstColumn="1" w:firstRow="1" w:lastColumn="0" w:lastRow="0" w:noHBand="0" w:noVBand="1" w:val="04A0"/>
      </w:tblPr>
      <w:tblGrid>
        <w:gridCol w:w="9792"/>
      </w:tblGrid>
      <w:tr>
        <w:tc>
          <w:tcPr>
            <w:tcW w:type="dxa" w:w="9936"/>
            <w:shd w:fill="1E1E1E"/>
            <w:tcMar>
              <w:top w:w="100" w:type="dxa"/>
              <w:bottom w:w="100" w:type="dxa"/>
              <w:left w:w="140" w:type="dxa"/>
              <w:right w:w="140" w:type="dxa"/>
            </w:tcMar>
          </w:tcPr>
          <w:p>
            <w:pPr>
              <w:spacing w:before="40" w:after="40" w:line="252" w:lineRule="auto"/>
            </w:pPr>
            <w:r>
              <w:rPr>
                <w:rFonts w:ascii="Consolas" w:hAnsi="Consolas"/>
                <w:color w:val="DCDCDC"/>
                <w:sz w:val="17"/>
              </w:rPr>
              <w:t>[XmlRoot("UniversalShipment", Namespace = "http://www.cargowise.com/Schemas/Universal/2011/11")]</w:t>
              <w:br/>
              <w:t>public class UniversalShipmentXml</w:t>
              <w:br/>
              <w:t>{</w:t>
              <w:br/>
              <w:t xml:space="preserve">    [XmlElement("Shipment")]</w:t>
              <w:br/>
              <w:t xml:space="preserve">    public ShipmentData? Shipment { get; set; }</w:t>
              <w:br/>
              <w:t>}</w:t>
              <w:br/>
              <w:br/>
              <w:t>public class ShipmentData</w:t>
              <w:br/>
              <w:t>{</w:t>
              <w:br/>
              <w:t xml:space="preserve">    [XmlElement("DataContext")]</w:t>
              <w:br/>
              <w:t xml:space="preserve">    public DataContextData? DataContext { get; set; }</w:t>
              <w:br/>
              <w:br/>
              <w:t xml:space="preserve">    [XmlArray("ContainerCollection")]</w:t>
              <w:br/>
              <w:t xml:space="preserve">    [XmlArrayItem("Container")]</w:t>
              <w:br/>
              <w:t xml:space="preserve">    public List&lt;ContainerData&gt; Containers { get; set; } = new();</w:t>
              <w:br/>
              <w:t>}</w:t>
              <w:br/>
              <w:br/>
              <w:t>public static class CargoWiseParser</w:t>
              <w:br/>
              <w:t>{</w:t>
              <w:br/>
              <w:t xml:space="preserve">    public static UniversalShipmentXml Parse(string rawXml)</w:t>
              <w:br/>
              <w:t xml:space="preserve">    {</w:t>
              <w:br/>
              <w:t xml:space="preserve">        var serializer = new XmlSerializer(typeof(UniversalShipmentXml));</w:t>
              <w:br/>
              <w:t xml:space="preserve">        using var reader = new StringReader(rawXml);</w:t>
              <w:br/>
              <w:t xml:space="preserve">        return (UniversalShipmentXml)serializer.Deserialize(reader)!;</w:t>
              <w:br/>
              <w:t xml:space="preserve">    }</w:t>
              <w:br/>
              <w:t>}</w:t>
            </w:r>
          </w:p>
        </w:tc>
      </w:tr>
    </w:tbl>
    <w:p>
      <w:pPr>
        <w:spacing w:after="80" w:before="0"/>
      </w:pPr>
    </w:p>
    <w:p>
      <w:pPr>
        <w:pStyle w:val="Heading1"/>
        <w:keepNext/>
        <w:spacing w:before="280" w:after="80"/>
      </w:pPr>
      <w:r>
        <w:rPr>
          <w:rFonts w:ascii="Calibri" w:hAnsi="Calibri"/>
          <w:color w:val="1E3A8A"/>
          <w:sz w:val="30"/>
        </w:rPr>
        <w:t>7. Action Plan 30 Hari Pertama di OneByOne Logistical</w:t>
      </w:r>
    </w:p>
    <w:tbl>
      <w:tblPr>
        <w:tblW w:type="auto" w:w="0"/>
        <w:jc w:val="center"/>
        <w:tblLayout w:type="fixed"/>
        <w:tblLook w:firstColumn="1" w:firstRow="1" w:lastColumn="0" w:lastRow="0" w:noHBand="0" w:noVBand="1" w:val="04A0"/>
      </w:tblPr>
      <w:tblGrid>
        <w:gridCol w:w="3312"/>
        <w:gridCol w:w="3312"/>
        <w:gridCol w:w="3312"/>
      </w:tblGrid>
      <w:tr>
        <w:tc>
          <w:tcPr>
            <w:tcW w:type="dxa" w:w="1584"/>
            <w:shd w:fill="1E3A8A"/>
            <w:tcMar>
              <w:top w:w="80" w:type="dxa"/>
              <w:bottom w:w="80" w:type="dxa"/>
              <w:left w:w="100" w:type="dxa"/>
              <w:right w:w="100" w:type="dxa"/>
            </w:tcMar>
          </w:tcPr>
          <w:p>
            <w:pPr>
              <w:jc w:val="center"/>
            </w:pPr>
            <w:r>
              <w:rPr>
                <w:rFonts w:ascii="Calibri" w:hAnsi="Calibri"/>
                <w:b/>
                <w:color w:val="FFFFFF"/>
                <w:sz w:val="18"/>
              </w:rPr>
              <w:t>Fase</w:t>
            </w:r>
          </w:p>
        </w:tc>
        <w:tc>
          <w:tcPr>
            <w:tcW w:type="dxa" w:w="2592"/>
            <w:shd w:fill="1E3A8A"/>
            <w:tcMar>
              <w:top w:w="80" w:type="dxa"/>
              <w:bottom w:w="80" w:type="dxa"/>
              <w:left w:w="100" w:type="dxa"/>
              <w:right w:w="100" w:type="dxa"/>
            </w:tcMar>
          </w:tcPr>
          <w:p>
            <w:pPr>
              <w:jc w:val="center"/>
            </w:pPr>
            <w:r>
              <w:rPr>
                <w:rFonts w:ascii="Calibri" w:hAnsi="Calibri"/>
                <w:b/>
                <w:color w:val="FFFFFF"/>
                <w:sz w:val="18"/>
              </w:rPr>
              <w:t>Target Teknis</w:t>
            </w:r>
          </w:p>
        </w:tc>
        <w:tc>
          <w:tcPr>
            <w:tcW w:type="dxa" w:w="5616"/>
            <w:shd w:fill="1E3A8A"/>
            <w:tcMar>
              <w:top w:w="80" w:type="dxa"/>
              <w:bottom w:w="80" w:type="dxa"/>
              <w:left w:w="100" w:type="dxa"/>
              <w:right w:w="100" w:type="dxa"/>
            </w:tcMar>
          </w:tcPr>
          <w:p>
            <w:pPr>
              <w:jc w:val="center"/>
            </w:pPr>
            <w:r>
              <w:rPr>
                <w:rFonts w:ascii="Calibri" w:hAnsi="Calibri"/>
                <w:b/>
                <w:color w:val="FFFFFF"/>
                <w:sz w:val="18"/>
              </w:rPr>
              <w:t>Langkah Aksi Konkret</w:t>
            </w:r>
          </w:p>
        </w:tc>
      </w:tr>
      <w:tr>
        <w:tc>
          <w:tcPr>
            <w:tcW w:type="dxa" w:w="1584"/>
            <w:shd w:fill="FFFFFF"/>
            <w:tcMar>
              <w:top w:w="60" w:type="dxa"/>
              <w:bottom w:w="60" w:type="dxa"/>
              <w:left w:w="100" w:type="dxa"/>
              <w:right w:w="100" w:type="dxa"/>
            </w:tcMar>
          </w:tcPr>
          <w:p>
            <w:r>
              <w:rPr>
                <w:rFonts w:ascii="Calibri" w:hAnsi="Calibri"/>
                <w:color w:val="333333"/>
                <w:sz w:val="17"/>
              </w:rPr>
              <w:t>Minggu 1</w:t>
            </w:r>
          </w:p>
        </w:tc>
        <w:tc>
          <w:tcPr>
            <w:tcW w:type="dxa" w:w="2592"/>
            <w:shd w:fill="FFFFFF"/>
            <w:tcMar>
              <w:top w:w="60" w:type="dxa"/>
              <w:bottom w:w="60" w:type="dxa"/>
              <w:left w:w="100" w:type="dxa"/>
              <w:right w:w="100" w:type="dxa"/>
            </w:tcMar>
          </w:tcPr>
          <w:p>
            <w:r>
              <w:rPr>
                <w:rFonts w:ascii="Calibri" w:hAnsi="Calibri"/>
                <w:color w:val="333333"/>
                <w:sz w:val="17"/>
              </w:rPr>
              <w:t>Arsitektur &amp; Setup Lokal</w:t>
            </w:r>
          </w:p>
        </w:tc>
        <w:tc>
          <w:tcPr>
            <w:tcW w:type="dxa" w:w="5616"/>
            <w:shd w:fill="FFFFFF"/>
            <w:tcMar>
              <w:top w:w="60" w:type="dxa"/>
              <w:bottom w:w="60" w:type="dxa"/>
              <w:left w:w="100" w:type="dxa"/>
              <w:right w:w="100" w:type="dxa"/>
            </w:tcMar>
          </w:tcPr>
          <w:p>
            <w:r>
              <w:rPr>
                <w:rFonts w:ascii="Calibri" w:hAnsi="Calibri"/>
                <w:color w:val="333333"/>
                <w:sz w:val="17"/>
              </w:rPr>
              <w:t>1. Clone repo, setup .NET 8 SDK, jalankan dotnet test &amp; docker-compose.</w:t>
              <w:br/>
              <w:t>2. Pelajari ERD database di SQL Server / Postgres.</w:t>
              <w:br/>
              <w:t>3. Pahami dependency injection di Program.cs.</w:t>
            </w:r>
          </w:p>
        </w:tc>
      </w:tr>
      <w:tr>
        <w:tc>
          <w:tcPr>
            <w:tcW w:type="dxa" w:w="1584"/>
            <w:shd w:fill="F8FAFC"/>
            <w:tcMar>
              <w:top w:w="60" w:type="dxa"/>
              <w:bottom w:w="60" w:type="dxa"/>
              <w:left w:w="100" w:type="dxa"/>
              <w:right w:w="100" w:type="dxa"/>
            </w:tcMar>
          </w:tcPr>
          <w:p>
            <w:r>
              <w:rPr>
                <w:rFonts w:ascii="Calibri" w:hAnsi="Calibri"/>
                <w:color w:val="333333"/>
                <w:sz w:val="17"/>
              </w:rPr>
              <w:t>Minggu 2</w:t>
            </w:r>
          </w:p>
        </w:tc>
        <w:tc>
          <w:tcPr>
            <w:tcW w:type="dxa" w:w="2592"/>
            <w:shd w:fill="F8FAFC"/>
            <w:tcMar>
              <w:top w:w="60" w:type="dxa"/>
              <w:bottom w:w="60" w:type="dxa"/>
              <w:left w:w="100" w:type="dxa"/>
              <w:right w:w="100" w:type="dxa"/>
            </w:tcMar>
          </w:tcPr>
          <w:p>
            <w:r>
              <w:rPr>
                <w:rFonts w:ascii="Calibri" w:hAnsi="Calibri"/>
                <w:color w:val="333333"/>
                <w:sz w:val="17"/>
              </w:rPr>
              <w:t>Domain &amp; Integrasi</w:t>
            </w:r>
          </w:p>
        </w:tc>
        <w:tc>
          <w:tcPr>
            <w:tcW w:type="dxa" w:w="5616"/>
            <w:shd w:fill="F8FAFC"/>
            <w:tcMar>
              <w:top w:w="60" w:type="dxa"/>
              <w:bottom w:w="60" w:type="dxa"/>
              <w:left w:w="100" w:type="dxa"/>
              <w:right w:w="100" w:type="dxa"/>
            </w:tcMar>
          </w:tcPr>
          <w:p>
            <w:r>
              <w:rPr>
                <w:rFonts w:ascii="Calibri" w:hAnsi="Calibri"/>
                <w:color w:val="333333"/>
                <w:sz w:val="17"/>
              </w:rPr>
              <w:t>1. Telaah payload XML CargoWise eAdaptor yang masuk.</w:t>
              <w:br/>
              <w:t>2. Pahami alur status shipment dari booking hingga delivery.</w:t>
              <w:br/>
              <w:t>3. Uji coba endpoint webhook staging.</w:t>
            </w:r>
          </w:p>
        </w:tc>
      </w:tr>
      <w:tr>
        <w:tc>
          <w:tcPr>
            <w:tcW w:type="dxa" w:w="1584"/>
            <w:shd w:fill="FFFFFF"/>
            <w:tcMar>
              <w:top w:w="60" w:type="dxa"/>
              <w:bottom w:w="60" w:type="dxa"/>
              <w:left w:w="100" w:type="dxa"/>
              <w:right w:w="100" w:type="dxa"/>
            </w:tcMar>
          </w:tcPr>
          <w:p>
            <w:r>
              <w:rPr>
                <w:rFonts w:ascii="Calibri" w:hAnsi="Calibri"/>
                <w:color w:val="333333"/>
                <w:sz w:val="17"/>
              </w:rPr>
              <w:t>Minggu 3</w:t>
            </w:r>
          </w:p>
        </w:tc>
        <w:tc>
          <w:tcPr>
            <w:tcW w:type="dxa" w:w="2592"/>
            <w:shd w:fill="FFFFFF"/>
            <w:tcMar>
              <w:top w:w="60" w:type="dxa"/>
              <w:bottom w:w="60" w:type="dxa"/>
              <w:left w:w="100" w:type="dxa"/>
              <w:right w:w="100" w:type="dxa"/>
            </w:tcMar>
          </w:tcPr>
          <w:p>
            <w:r>
              <w:rPr>
                <w:rFonts w:ascii="Calibri" w:hAnsi="Calibri"/>
                <w:color w:val="333333"/>
                <w:sz w:val="17"/>
              </w:rPr>
              <w:t>Fitur &amp; Bug Triage</w:t>
            </w:r>
          </w:p>
        </w:tc>
        <w:tc>
          <w:tcPr>
            <w:tcW w:type="dxa" w:w="5616"/>
            <w:shd w:fill="FFFFFF"/>
            <w:tcMar>
              <w:top w:w="60" w:type="dxa"/>
              <w:bottom w:w="60" w:type="dxa"/>
              <w:left w:w="100" w:type="dxa"/>
              <w:right w:w="100" w:type="dxa"/>
            </w:tcMar>
          </w:tcPr>
          <w:p>
            <w:r>
              <w:rPr>
                <w:rFonts w:ascii="Calibri" w:hAnsi="Calibri"/>
                <w:color w:val="333333"/>
                <w:sz w:val="17"/>
              </w:rPr>
              <w:t>1. Ambil task tiket pertama (misal: perbaikan validasi container atau rate calculation).</w:t>
              <w:br/>
              <w:t>2. Terapkan unit test xUnit / FluentAssertions.</w:t>
              <w:br/>
              <w:t>3. Review PR bersama supervisor (Marvin Christian).</w:t>
            </w:r>
          </w:p>
        </w:tc>
      </w:tr>
      <w:tr>
        <w:tc>
          <w:tcPr>
            <w:tcW w:type="dxa" w:w="1584"/>
            <w:shd w:fill="F8FAFC"/>
            <w:tcMar>
              <w:top w:w="60" w:type="dxa"/>
              <w:bottom w:w="60" w:type="dxa"/>
              <w:left w:w="100" w:type="dxa"/>
              <w:right w:w="100" w:type="dxa"/>
            </w:tcMar>
          </w:tcPr>
          <w:p>
            <w:r>
              <w:rPr>
                <w:rFonts w:ascii="Calibri" w:hAnsi="Calibri"/>
                <w:color w:val="333333"/>
                <w:sz w:val="17"/>
              </w:rPr>
              <w:t>Minggu 4</w:t>
            </w:r>
          </w:p>
        </w:tc>
        <w:tc>
          <w:tcPr>
            <w:tcW w:type="dxa" w:w="2592"/>
            <w:shd w:fill="F8FAFC"/>
            <w:tcMar>
              <w:top w:w="60" w:type="dxa"/>
              <w:bottom w:w="60" w:type="dxa"/>
              <w:left w:w="100" w:type="dxa"/>
              <w:right w:w="100" w:type="dxa"/>
            </w:tcMar>
          </w:tcPr>
          <w:p>
            <w:r>
              <w:rPr>
                <w:rFonts w:ascii="Calibri" w:hAnsi="Calibri"/>
                <w:color w:val="333333"/>
                <w:sz w:val="17"/>
              </w:rPr>
              <w:t>Optimasi &amp; Resiliency</w:t>
            </w:r>
          </w:p>
        </w:tc>
        <w:tc>
          <w:tcPr>
            <w:tcW w:type="dxa" w:w="5616"/>
            <w:shd w:fill="F8FAFC"/>
            <w:tcMar>
              <w:top w:w="60" w:type="dxa"/>
              <w:bottom w:w="60" w:type="dxa"/>
              <w:left w:w="100" w:type="dxa"/>
              <w:right w:w="100" w:type="dxa"/>
            </w:tcMar>
          </w:tcPr>
          <w:p>
            <w:r>
              <w:rPr>
                <w:rFonts w:ascii="Calibri" w:hAnsi="Calibri"/>
                <w:color w:val="333333"/>
                <w:sz w:val="17"/>
              </w:rPr>
              <w:t>1. Audit query EF Core untuk mencegah masalah N+1 (tambahkan AsNoTracking / Include).</w:t>
              <w:br/>
              <w:t>2. Review policy retry Polly pada koneksi eksternal.</w:t>
              <w:br/>
              <w:t>3. Pastikan logging serilog terstruktur dengan CorrelationId.</w:t>
            </w:r>
          </w:p>
        </w:tc>
      </w:tr>
    </w:tbl>
    <w:p>
      <w:pPr>
        <w:spacing w:after="60"/>
      </w:pPr>
    </w:p>
    <w:tbl>
      <w:tblPr>
        <w:tblW w:type="auto" w:w="0"/>
        <w:jc w:val="center"/>
        <w:tblLayout w:type="fixed"/>
        <w:tblLook w:firstColumn="1" w:firstRow="1" w:lastColumn="0" w:lastRow="0" w:noHBand="0" w:noVBand="1" w:val="04A0"/>
      </w:tblPr>
      <w:tblGrid>
        <w:gridCol w:w="9792"/>
      </w:tblGrid>
      <w:tr>
        <w:tc>
          <w:tcPr>
            <w:tcW w:type="dxa" w:w="9936"/>
            <w:shd w:fill="F0F4F8"/>
            <w:tcMar>
              <w:top w:w="100" w:type="dxa"/>
              <w:bottom w:w="100" w:type="dxa"/>
              <w:left w:w="140" w:type="dxa"/>
              <w:right w:w="140" w:type="dxa"/>
            </w:tcMar>
            <w:tcBorders>
              <w:left w:val="single" w:sz="24" w:space="0" w:color="1E3A8A"/>
              <w:top w:val="none"/>
              <w:right w:val="none"/>
              <w:bottom w:val="none"/>
            </w:tcBorders>
          </w:tcPr>
          <w:p>
            <w:pPr>
              <w:spacing w:before="40" w:after="40"/>
            </w:pPr>
            <w:r>
              <w:rPr>
                <w:rFonts w:ascii="Calibri" w:hAnsi="Calibri"/>
                <w:b/>
                <w:color w:val="1E3A8A"/>
                <w:sz w:val="20"/>
              </w:rPr>
              <w:t>📌 CATATAN PENUTUP</w:t>
              <w:br/>
            </w:r>
            <w:r>
              <w:rPr>
                <w:rFonts w:ascii="Calibri" w:hAnsi="Calibri"/>
                <w:color w:val="333333"/>
                <w:sz w:val="19"/>
              </w:rPr>
              <w:t>Kemampuan fondasi Anda di Go (concurrency, event-driven, idempotency) adalah modal yang sangat kuat di .NET. Dengan menguasai C# modern (records, pattern matching, async/await) dan ekosistem Microsoft (EF Core, MediatR, MassTransit), Anda akan mampu beradaptasi dengan sangat cepat dan memberikan dampak nyata di tim OneByOne Logistical.</w:t>
            </w:r>
          </w:p>
        </w:tc>
      </w:tr>
    </w:tbl>
    <w:p>
      <w:pPr>
        <w:spacing w:after="60" w:before="0"/>
      </w:pP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08080"/>
        <w:sz w:val="17"/>
      </w:rPr>
      <w:t>OneByOne Logistical — FMS Backend Engineering Guide (.NET &amp; MS Ecosystem) | Dewa Biara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