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787878"/>
          <w:sz w:val="24"/>
        </w:rPr>
        <w:t>PANDUAN STRATEGIS EKSPOR MANUFAKTUR</w:t>
        <w:br/>
      </w:r>
      <w:r>
        <w:rPr>
          <w:b/>
          <w:color w:val="B42828"/>
          <w:sz w:val="40"/>
        </w:rPr>
        <w:t>Ugra Grill ke Pasar Asia-Pasifik (APAC)</w:t>
      </w:r>
    </w:p>
    <w:p>
      <w:pPr>
        <w:spacing w:after="360"/>
        <w:jc w:val="center"/>
      </w:pPr>
      <w:r>
        <w:rPr>
          <w:i/>
          <w:color w:val="646464"/>
          <w:sz w:val="19"/>
        </w:rPr>
        <w:t>Entitas: Ugra Grill / Ugra Creative (Batubulan, Gianyar, Bali) | Owner: Risma</w:t>
        <w:br/>
        <w:t>Konsultan: Dewa Biara &amp; Thena | Tanggal: Oktober 2026</w:t>
      </w:r>
    </w:p>
    <w:p>
      <w:pPr>
        <w:spacing w:after="120"/>
      </w:pPr>
    </w:p>
    <w:p>
      <w:pPr>
        <w:keepNext/>
        <w:spacing w:before="280" w:after="80"/>
      </w:pPr>
      <w:r>
        <w:rPr>
          <w:b/>
          <w:color w:val="B42828"/>
          <w:sz w:val="28"/>
        </w:rPr>
        <w:t>1. Ringkasan Eksekutif &amp; Konteks Bisnis</w:t>
      </w:r>
    </w:p>
    <w:p>
      <w:r>
        <w:t>Ugra Grill memiliki diferensiasi kuat sebagai produsen panggangan berbahan plat besi tebal, drum daur ulang (upcycled barrel), dan desain kustom kokoh dari Bali. Untuk melangkah ke kancah internasional, kawasan Asia-Pasifik (APAC) adalah arena paling realistis dan menguntungkan berkat:</w:t>
      </w:r>
    </w:p>
    <w:p>
      <w:pPr>
        <w:pStyle w:val="ListBullet"/>
      </w:pPr>
      <w:r>
        <w:rPr>
          <w:b/>
        </w:rPr>
        <w:t xml:space="preserve">Kedekatan Geografis: </w:t>
      </w:r>
      <w:r>
        <w:t>Efisiensi rute pelayaran langsung/feeder dari Pelabuhan Benoa dan Tanjung Perak Surabaya ke hub utama APAC.</w:t>
      </w:r>
    </w:p>
    <w:p>
      <w:pPr>
        <w:pStyle w:val="ListBullet"/>
      </w:pPr>
      <w:r>
        <w:rPr>
          <w:b/>
        </w:rPr>
        <w:t xml:space="preserve">Konektivitas Budaya &amp; Turis: </w:t>
      </w:r>
      <w:r>
        <w:t>Ekspatriat asal Australia, Selandia Baru, dan Asia Tenggara di Bali bertindak sebagai jembatan validasi awal (organic early adopters).</w:t>
      </w:r>
    </w:p>
    <w:p>
      <w:pPr>
        <w:pStyle w:val="ListBullet"/>
      </w:pPr>
      <w:r>
        <w:rPr>
          <w:b/>
        </w:rPr>
        <w:t xml:space="preserve">Perjanjian Perdagangan Bebas (FTA): </w:t>
      </w:r>
      <w:r>
        <w:t>Indonesia menikmati tarif bea masuk 0% ke mayoritas negara APAC melalui skema IA-CEPA, ATIGA, dan RCEP.</w:t>
      </w:r>
    </w:p>
    <w:p>
      <w:r>
        <w:t>Tantangan utama yang wajib diselesaikan sebelum ekspor mencakup penyesuaian material kontak makanan (food-grade safety), redesain kemasan modular (knock-down/flat-pack) untuk menekan biaya kargo kubikasi (CBM), serta kepatuhan biosecurity karantina.</w:t>
      </w:r>
    </w:p>
    <w:p>
      <w:pPr>
        <w:keepNext/>
        <w:spacing w:before="280" w:after="80"/>
      </w:pPr>
      <w:r>
        <w:rPr>
          <w:b/>
          <w:color w:val="B42828"/>
          <w:sz w:val="28"/>
        </w:rPr>
        <w:t>2. Pemetaan &amp; Analisis Pasar Target APAC</w:t>
      </w:r>
    </w:p>
    <w:p>
      <w:pPr>
        <w:keepNext/>
        <w:spacing w:before="200" w:after="40"/>
      </w:pPr>
      <w:r>
        <w:rPr>
          <w:b/>
          <w:color w:val="3C3C3C"/>
          <w:sz w:val="24"/>
        </w:rPr>
        <w:t>A. Tier 1: Australia &amp; Selandia Baru (Prime Target)</w:t>
      </w:r>
    </w:p>
    <w:p>
      <w:r>
        <w:t>Budaya Aussie Barbecue adalah bagian integral dari gaya hidup sehari-hari. Konsumen menyukai panggangan besi tebal / heavy-duty smoker yang tahan cuaca ekstrem. Harga unit custom smoker/grill di Australia berkisar antara AUD $400 – $2.500 (Rp 4jt – Rp 25jt+), memberikan margin kotor yang sangat sehat. Tantangan utamanya adalah aturan biosecurity ketat (DAFF) dan standar keselamatan pembakaran (AS 4557).</w:t>
      </w:r>
    </w:p>
    <w:p>
      <w:pPr>
        <w:keepNext/>
        <w:spacing w:before="200" w:after="40"/>
      </w:pPr>
      <w:r>
        <w:rPr>
          <w:b/>
          <w:color w:val="3C3C3C"/>
          <w:sz w:val="24"/>
        </w:rPr>
        <w:t>B. Tier 2: Singapura &amp; Malaysia (Regional Hub)</w:t>
      </w:r>
    </w:p>
    <w:p>
      <w:r>
        <w:t>Singapura menyasar segmen landed properties, club house, glamping di East Coast, dan restoran komersial dengan daya beli sangat tinggi. Malaysia mengalami ledakan tren glamping dan villa liburan akhir pekan di dataran tinggi. Keunggulannya adalah waktu transit kargo yang sangat cepat (3–5 hari) dan biaya kargo LCL terendah.</w:t>
      </w:r>
    </w:p>
    <w:p>
      <w:pPr>
        <w:keepNext/>
        <w:spacing w:before="200" w:after="40"/>
      </w:pPr>
      <w:r>
        <w:rPr>
          <w:b/>
          <w:color w:val="3C3C3C"/>
          <w:sz w:val="24"/>
        </w:rPr>
        <w:t>C. Tier 3: Jepang &amp; Korea Selatan (Niche Glamping &amp; Craft)</w:t>
      </w:r>
    </w:p>
    <w:p>
      <w:r>
        <w:t>Ledakan tren luxury glamping dan solo camping. Konsumen sangat menghargai estetika industrial, material upcycled barrel, dan pengerjaan tangan (handcrafted). Menuntut ukuran kompak, presisi pengerjaan tinggi, dan kemasan retail berstandar premium.</w:t>
      </w:r>
    </w:p>
    <w:p>
      <w:pPr>
        <w:keepNext/>
        <w:spacing w:before="280" w:after="80"/>
      </w:pPr>
      <w:r>
        <w:rPr>
          <w:b/>
          <w:color w:val="B42828"/>
          <w:sz w:val="28"/>
        </w:rPr>
        <w:t>3. Perjanjian Perdagangan Bebas &amp; Tarif Bea Masuk (FTA)</w:t>
      </w:r>
    </w:p>
    <w:p>
      <w:r>
        <w:t>Dengan menyertakan Surat Keterangan Asal (SKA / Certificate of Origin) yang diterbitkan Kementerian Perdagangan, produk Ugra Grill dapat menikmati tarif bea masuk 0% di negara tujuan: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B83227"/>
            <w:tcMar>
              <w:top w:w="120" w:type="dxa"/>
              <w:bottom w:w="120" w:type="dxa"/>
              <w:left w:w="150" w:type="dxa"/>
              <w:right w:w="150" w:type="dxa"/>
            </w:tcMar>
          </w:tcPr>
          <w:p>
            <w:pPr>
              <w:jc w:val="center"/>
            </w:pPr>
            <w:r>
              <w:rPr>
                <w:b/>
                <w:color w:val="FFFFFF"/>
                <w:sz w:val="19"/>
              </w:rPr>
              <w:t>Negara Tujuan</w:t>
            </w:r>
          </w:p>
        </w:tc>
        <w:tc>
          <w:tcPr>
            <w:tcW w:type="dxa" w:w="1872"/>
            <w:shd w:fill="B83227"/>
            <w:tcMar>
              <w:top w:w="120" w:type="dxa"/>
              <w:bottom w:w="120" w:type="dxa"/>
              <w:left w:w="150" w:type="dxa"/>
              <w:right w:w="150" w:type="dxa"/>
            </w:tcMar>
          </w:tcPr>
          <w:p>
            <w:pPr>
              <w:jc w:val="center"/>
            </w:pPr>
            <w:r>
              <w:rPr>
                <w:b/>
                <w:color w:val="FFFFFF"/>
                <w:sz w:val="19"/>
              </w:rPr>
              <w:t>Perjanjian Dagang</w:t>
            </w:r>
          </w:p>
        </w:tc>
        <w:tc>
          <w:tcPr>
            <w:tcW w:type="dxa" w:w="1872"/>
            <w:shd w:fill="B83227"/>
            <w:tcMar>
              <w:top w:w="120" w:type="dxa"/>
              <w:bottom w:w="120" w:type="dxa"/>
              <w:left w:w="150" w:type="dxa"/>
              <w:right w:w="150" w:type="dxa"/>
            </w:tcMar>
          </w:tcPr>
          <w:p>
            <w:pPr>
              <w:jc w:val="center"/>
            </w:pPr>
            <w:r>
              <w:rPr>
                <w:b/>
                <w:color w:val="FFFFFF"/>
                <w:sz w:val="19"/>
              </w:rPr>
              <w:t>Dokumen SKA</w:t>
            </w:r>
          </w:p>
        </w:tc>
        <w:tc>
          <w:tcPr>
            <w:tcW w:type="dxa" w:w="1440"/>
            <w:shd w:fill="B83227"/>
            <w:tcMar>
              <w:top w:w="120" w:type="dxa"/>
              <w:bottom w:w="120" w:type="dxa"/>
              <w:left w:w="150" w:type="dxa"/>
              <w:right w:w="150" w:type="dxa"/>
            </w:tcMar>
          </w:tcPr>
          <w:p>
            <w:pPr>
              <w:jc w:val="center"/>
            </w:pPr>
            <w:r>
              <w:rPr>
                <w:b/>
                <w:color w:val="FFFFFF"/>
                <w:sz w:val="19"/>
              </w:rPr>
              <w:t>Tarif Standar</w:t>
            </w:r>
          </w:p>
        </w:tc>
        <w:tc>
          <w:tcPr>
            <w:tcW w:type="dxa" w:w="1728"/>
            <w:shd w:fill="B83227"/>
            <w:tcMar>
              <w:top w:w="120" w:type="dxa"/>
              <w:bottom w:w="120" w:type="dxa"/>
              <w:left w:w="150" w:type="dxa"/>
              <w:right w:w="150" w:type="dxa"/>
            </w:tcMar>
          </w:tcPr>
          <w:p>
            <w:pPr>
              <w:jc w:val="center"/>
            </w:pPr>
            <w:r>
              <w:rPr>
                <w:b/>
                <w:color w:val="FFFFFF"/>
                <w:sz w:val="19"/>
              </w:rPr>
              <w:t>Tarif Preferensi FTA</w:t>
            </w:r>
          </w:p>
        </w:tc>
      </w:tr>
      <w:tr>
        <w:tc>
          <w:tcPr>
            <w:tcW w:type="dxa" w:w="1728"/>
            <w:shd w:fill="F9F9F9"/>
            <w:tcMar>
              <w:top w:w="100" w:type="dxa"/>
              <w:bottom w:w="100" w:type="dxa"/>
              <w:left w:w="150" w:type="dxa"/>
              <w:right w:w="150" w:type="dxa"/>
            </w:tcMar>
          </w:tcPr>
          <w:p>
            <w:pPr>
              <w:jc w:val="left"/>
            </w:pPr>
            <w:r>
              <w:rPr>
                <w:color w:val="333333"/>
                <w:sz w:val="19"/>
              </w:rPr>
              <w:t>Australia</w:t>
            </w:r>
          </w:p>
        </w:tc>
        <w:tc>
          <w:tcPr>
            <w:tcW w:type="dxa" w:w="1872"/>
            <w:shd w:fill="F9F9F9"/>
            <w:tcMar>
              <w:top w:w="100" w:type="dxa"/>
              <w:bottom w:w="100" w:type="dxa"/>
              <w:left w:w="150" w:type="dxa"/>
              <w:right w:w="150" w:type="dxa"/>
            </w:tcMar>
          </w:tcPr>
          <w:p>
            <w:pPr>
              <w:jc w:val="center"/>
            </w:pPr>
            <w:r>
              <w:rPr>
                <w:color w:val="333333"/>
                <w:sz w:val="19"/>
              </w:rPr>
              <w:t>IA-CEPA</w:t>
            </w:r>
          </w:p>
        </w:tc>
        <w:tc>
          <w:tcPr>
            <w:tcW w:type="dxa" w:w="1872"/>
            <w:shd w:fill="F9F9F9"/>
            <w:tcMar>
              <w:top w:w="100" w:type="dxa"/>
              <w:bottom w:w="100" w:type="dxa"/>
              <w:left w:w="150" w:type="dxa"/>
              <w:right w:w="150" w:type="dxa"/>
            </w:tcMar>
          </w:tcPr>
          <w:p>
            <w:pPr>
              <w:jc w:val="center"/>
            </w:pPr>
            <w:r>
              <w:rPr>
                <w:color w:val="333333"/>
                <w:sz w:val="19"/>
              </w:rPr>
              <w:t>Form IA-CEPA</w:t>
            </w:r>
          </w:p>
        </w:tc>
        <w:tc>
          <w:tcPr>
            <w:tcW w:type="dxa" w:w="1440"/>
            <w:shd w:fill="F9F9F9"/>
            <w:tcMar>
              <w:top w:w="100" w:type="dxa"/>
              <w:bottom w:w="100" w:type="dxa"/>
              <w:left w:w="150" w:type="dxa"/>
              <w:right w:w="150" w:type="dxa"/>
            </w:tcMar>
          </w:tcPr>
          <w:p>
            <w:pPr>
              <w:jc w:val="center"/>
            </w:pPr>
            <w:r>
              <w:rPr>
                <w:color w:val="333333"/>
                <w:sz w:val="19"/>
              </w:rPr>
              <w:t>5%</w:t>
            </w:r>
          </w:p>
        </w:tc>
        <w:tc>
          <w:tcPr>
            <w:tcW w:type="dxa" w:w="1728"/>
            <w:shd w:fill="F9F9F9"/>
            <w:tcMar>
              <w:top w:w="100" w:type="dxa"/>
              <w:bottom w:w="100" w:type="dxa"/>
              <w:left w:w="150" w:type="dxa"/>
              <w:right w:w="150" w:type="dxa"/>
            </w:tcMar>
          </w:tcPr>
          <w:p>
            <w:pPr>
              <w:jc w:val="center"/>
            </w:pPr>
            <w:r>
              <w:rPr>
                <w:color w:val="333333"/>
                <w:sz w:val="19"/>
              </w:rPr>
              <w:t>0% (Bebas Bea)</w:t>
            </w:r>
          </w:p>
        </w:tc>
      </w:tr>
      <w:tr>
        <w:tc>
          <w:tcPr>
            <w:tcW w:type="dxa" w:w="1728"/>
            <w:shd w:fill="FFFFFF"/>
            <w:tcMar>
              <w:top w:w="100" w:type="dxa"/>
              <w:bottom w:w="100" w:type="dxa"/>
              <w:left w:w="150" w:type="dxa"/>
              <w:right w:w="150" w:type="dxa"/>
            </w:tcMar>
          </w:tcPr>
          <w:p>
            <w:pPr>
              <w:jc w:val="left"/>
            </w:pPr>
            <w:r>
              <w:rPr>
                <w:color w:val="333333"/>
                <w:sz w:val="19"/>
              </w:rPr>
              <w:t>Selandia Baru</w:t>
            </w:r>
          </w:p>
        </w:tc>
        <w:tc>
          <w:tcPr>
            <w:tcW w:type="dxa" w:w="1872"/>
            <w:shd w:fill="FFFFFF"/>
            <w:tcMar>
              <w:top w:w="100" w:type="dxa"/>
              <w:bottom w:w="100" w:type="dxa"/>
              <w:left w:w="150" w:type="dxa"/>
              <w:right w:w="150" w:type="dxa"/>
            </w:tcMar>
          </w:tcPr>
          <w:p>
            <w:pPr>
              <w:jc w:val="center"/>
            </w:pPr>
            <w:r>
              <w:rPr>
                <w:color w:val="333333"/>
                <w:sz w:val="19"/>
              </w:rPr>
              <w:t>AANZFTA</w:t>
            </w:r>
          </w:p>
        </w:tc>
        <w:tc>
          <w:tcPr>
            <w:tcW w:type="dxa" w:w="1872"/>
            <w:shd w:fill="FFFFFF"/>
            <w:tcMar>
              <w:top w:w="100" w:type="dxa"/>
              <w:bottom w:w="100" w:type="dxa"/>
              <w:left w:w="150" w:type="dxa"/>
              <w:right w:w="150" w:type="dxa"/>
            </w:tcMar>
          </w:tcPr>
          <w:p>
            <w:pPr>
              <w:jc w:val="center"/>
            </w:pPr>
            <w:r>
              <w:rPr>
                <w:color w:val="333333"/>
                <w:sz w:val="19"/>
              </w:rPr>
              <w:t>Form AANZ</w:t>
            </w:r>
          </w:p>
        </w:tc>
        <w:tc>
          <w:tcPr>
            <w:tcW w:type="dxa" w:w="1440"/>
            <w:shd w:fill="FFFFFF"/>
            <w:tcMar>
              <w:top w:w="100" w:type="dxa"/>
              <w:bottom w:w="100" w:type="dxa"/>
              <w:left w:w="150" w:type="dxa"/>
              <w:right w:w="150" w:type="dxa"/>
            </w:tcMar>
          </w:tcPr>
          <w:p>
            <w:pPr>
              <w:jc w:val="center"/>
            </w:pPr>
            <w:r>
              <w:rPr>
                <w:color w:val="333333"/>
                <w:sz w:val="19"/>
              </w:rPr>
              <w:t>5%</w:t>
            </w:r>
          </w:p>
        </w:tc>
        <w:tc>
          <w:tcPr>
            <w:tcW w:type="dxa" w:w="1728"/>
            <w:shd w:fill="FFFFFF"/>
            <w:tcMar>
              <w:top w:w="100" w:type="dxa"/>
              <w:bottom w:w="100" w:type="dxa"/>
              <w:left w:w="150" w:type="dxa"/>
              <w:right w:w="150" w:type="dxa"/>
            </w:tcMar>
          </w:tcPr>
          <w:p>
            <w:pPr>
              <w:jc w:val="center"/>
            </w:pPr>
            <w:r>
              <w:rPr>
                <w:color w:val="333333"/>
                <w:sz w:val="19"/>
              </w:rPr>
              <w:t>0% (Bebas Bea)</w:t>
            </w:r>
          </w:p>
        </w:tc>
      </w:tr>
      <w:tr>
        <w:tc>
          <w:tcPr>
            <w:tcW w:type="dxa" w:w="1728"/>
            <w:shd w:fill="F9F9F9"/>
            <w:tcMar>
              <w:top w:w="100" w:type="dxa"/>
              <w:bottom w:w="100" w:type="dxa"/>
              <w:left w:w="150" w:type="dxa"/>
              <w:right w:w="150" w:type="dxa"/>
            </w:tcMar>
          </w:tcPr>
          <w:p>
            <w:pPr>
              <w:jc w:val="left"/>
            </w:pPr>
            <w:r>
              <w:rPr>
                <w:color w:val="333333"/>
                <w:sz w:val="19"/>
              </w:rPr>
              <w:t>Singapura</w:t>
            </w:r>
          </w:p>
        </w:tc>
        <w:tc>
          <w:tcPr>
            <w:tcW w:type="dxa" w:w="1872"/>
            <w:shd w:fill="F9F9F9"/>
            <w:tcMar>
              <w:top w:w="100" w:type="dxa"/>
              <w:bottom w:w="100" w:type="dxa"/>
              <w:left w:w="150" w:type="dxa"/>
              <w:right w:w="150" w:type="dxa"/>
            </w:tcMar>
          </w:tcPr>
          <w:p>
            <w:pPr>
              <w:jc w:val="center"/>
            </w:pPr>
            <w:r>
              <w:rPr>
                <w:color w:val="333333"/>
                <w:sz w:val="19"/>
              </w:rPr>
              <w:t>ATIGA</w:t>
            </w:r>
          </w:p>
        </w:tc>
        <w:tc>
          <w:tcPr>
            <w:tcW w:type="dxa" w:w="1872"/>
            <w:shd w:fill="F9F9F9"/>
            <w:tcMar>
              <w:top w:w="100" w:type="dxa"/>
              <w:bottom w:w="100" w:type="dxa"/>
              <w:left w:w="150" w:type="dxa"/>
              <w:right w:w="150" w:type="dxa"/>
            </w:tcMar>
          </w:tcPr>
          <w:p>
            <w:pPr>
              <w:jc w:val="center"/>
            </w:pPr>
            <w:r>
              <w:rPr>
                <w:color w:val="333333"/>
                <w:sz w:val="19"/>
              </w:rPr>
              <w:t>Form D</w:t>
            </w:r>
          </w:p>
        </w:tc>
        <w:tc>
          <w:tcPr>
            <w:tcW w:type="dxa" w:w="1440"/>
            <w:shd w:fill="F9F9F9"/>
            <w:tcMar>
              <w:top w:w="100" w:type="dxa"/>
              <w:bottom w:w="100" w:type="dxa"/>
              <w:left w:w="150" w:type="dxa"/>
              <w:right w:w="150" w:type="dxa"/>
            </w:tcMar>
          </w:tcPr>
          <w:p>
            <w:pPr>
              <w:jc w:val="center"/>
            </w:pPr>
            <w:r>
              <w:rPr>
                <w:color w:val="333333"/>
                <w:sz w:val="19"/>
              </w:rPr>
              <w:t>0%</w:t>
            </w:r>
          </w:p>
        </w:tc>
        <w:tc>
          <w:tcPr>
            <w:tcW w:type="dxa" w:w="1728"/>
            <w:shd w:fill="F9F9F9"/>
            <w:tcMar>
              <w:top w:w="100" w:type="dxa"/>
              <w:bottom w:w="100" w:type="dxa"/>
              <w:left w:w="150" w:type="dxa"/>
              <w:right w:w="150" w:type="dxa"/>
            </w:tcMar>
          </w:tcPr>
          <w:p>
            <w:pPr>
              <w:jc w:val="center"/>
            </w:pPr>
            <w:r>
              <w:rPr>
                <w:color w:val="333333"/>
                <w:sz w:val="19"/>
              </w:rPr>
              <w:t>0% (Bebas Bea)</w:t>
            </w:r>
          </w:p>
        </w:tc>
      </w:tr>
      <w:tr>
        <w:tc>
          <w:tcPr>
            <w:tcW w:type="dxa" w:w="1728"/>
            <w:shd w:fill="FFFFFF"/>
            <w:tcMar>
              <w:top w:w="100" w:type="dxa"/>
              <w:bottom w:w="100" w:type="dxa"/>
              <w:left w:w="150" w:type="dxa"/>
              <w:right w:w="150" w:type="dxa"/>
            </w:tcMar>
          </w:tcPr>
          <w:p>
            <w:pPr>
              <w:jc w:val="left"/>
            </w:pPr>
            <w:r>
              <w:rPr>
                <w:color w:val="333333"/>
                <w:sz w:val="19"/>
              </w:rPr>
              <w:t>Malaysia</w:t>
            </w:r>
          </w:p>
        </w:tc>
        <w:tc>
          <w:tcPr>
            <w:tcW w:type="dxa" w:w="1872"/>
            <w:shd w:fill="FFFFFF"/>
            <w:tcMar>
              <w:top w:w="100" w:type="dxa"/>
              <w:bottom w:w="100" w:type="dxa"/>
              <w:left w:w="150" w:type="dxa"/>
              <w:right w:w="150" w:type="dxa"/>
            </w:tcMar>
          </w:tcPr>
          <w:p>
            <w:pPr>
              <w:jc w:val="center"/>
            </w:pPr>
            <w:r>
              <w:rPr>
                <w:color w:val="333333"/>
                <w:sz w:val="19"/>
              </w:rPr>
              <w:t>ATIGA</w:t>
            </w:r>
          </w:p>
        </w:tc>
        <w:tc>
          <w:tcPr>
            <w:tcW w:type="dxa" w:w="1872"/>
            <w:shd w:fill="FFFFFF"/>
            <w:tcMar>
              <w:top w:w="100" w:type="dxa"/>
              <w:bottom w:w="100" w:type="dxa"/>
              <w:left w:w="150" w:type="dxa"/>
              <w:right w:w="150" w:type="dxa"/>
            </w:tcMar>
          </w:tcPr>
          <w:p>
            <w:pPr>
              <w:jc w:val="center"/>
            </w:pPr>
            <w:r>
              <w:rPr>
                <w:color w:val="333333"/>
                <w:sz w:val="19"/>
              </w:rPr>
              <w:t>Form D</w:t>
            </w:r>
          </w:p>
        </w:tc>
        <w:tc>
          <w:tcPr>
            <w:tcW w:type="dxa" w:w="1440"/>
            <w:shd w:fill="FFFFFF"/>
            <w:tcMar>
              <w:top w:w="100" w:type="dxa"/>
              <w:bottom w:w="100" w:type="dxa"/>
              <w:left w:w="150" w:type="dxa"/>
              <w:right w:w="150" w:type="dxa"/>
            </w:tcMar>
          </w:tcPr>
          <w:p>
            <w:pPr>
              <w:jc w:val="center"/>
            </w:pPr>
            <w:r>
              <w:rPr>
                <w:color w:val="333333"/>
                <w:sz w:val="19"/>
              </w:rPr>
              <w:t>15% - 20%</w:t>
            </w:r>
          </w:p>
        </w:tc>
        <w:tc>
          <w:tcPr>
            <w:tcW w:type="dxa" w:w="1728"/>
            <w:shd w:fill="FFFFFF"/>
            <w:tcMar>
              <w:top w:w="100" w:type="dxa"/>
              <w:bottom w:w="100" w:type="dxa"/>
              <w:left w:w="150" w:type="dxa"/>
              <w:right w:w="150" w:type="dxa"/>
            </w:tcMar>
          </w:tcPr>
          <w:p>
            <w:pPr>
              <w:jc w:val="center"/>
            </w:pPr>
            <w:r>
              <w:rPr>
                <w:color w:val="333333"/>
                <w:sz w:val="19"/>
              </w:rPr>
              <w:t>0% (Bebas Bea)</w:t>
            </w:r>
          </w:p>
        </w:tc>
      </w:tr>
      <w:tr>
        <w:tc>
          <w:tcPr>
            <w:tcW w:type="dxa" w:w="1728"/>
            <w:shd w:fill="F9F9F9"/>
            <w:tcMar>
              <w:top w:w="100" w:type="dxa"/>
              <w:bottom w:w="100" w:type="dxa"/>
              <w:left w:w="150" w:type="dxa"/>
              <w:right w:w="150" w:type="dxa"/>
            </w:tcMar>
          </w:tcPr>
          <w:p>
            <w:pPr>
              <w:jc w:val="left"/>
            </w:pPr>
            <w:r>
              <w:rPr>
                <w:color w:val="333333"/>
                <w:sz w:val="19"/>
              </w:rPr>
              <w:t>Jepang</w:t>
            </w:r>
          </w:p>
        </w:tc>
        <w:tc>
          <w:tcPr>
            <w:tcW w:type="dxa" w:w="1872"/>
            <w:shd w:fill="F9F9F9"/>
            <w:tcMar>
              <w:top w:w="100" w:type="dxa"/>
              <w:bottom w:w="100" w:type="dxa"/>
              <w:left w:w="150" w:type="dxa"/>
              <w:right w:w="150" w:type="dxa"/>
            </w:tcMar>
          </w:tcPr>
          <w:p>
            <w:pPr>
              <w:jc w:val="center"/>
            </w:pPr>
            <w:r>
              <w:rPr>
                <w:color w:val="333333"/>
                <w:sz w:val="19"/>
              </w:rPr>
              <w:t>IJEPA / RCEP</w:t>
            </w:r>
          </w:p>
        </w:tc>
        <w:tc>
          <w:tcPr>
            <w:tcW w:type="dxa" w:w="1872"/>
            <w:shd w:fill="F9F9F9"/>
            <w:tcMar>
              <w:top w:w="100" w:type="dxa"/>
              <w:bottom w:w="100" w:type="dxa"/>
              <w:left w:w="150" w:type="dxa"/>
              <w:right w:w="150" w:type="dxa"/>
            </w:tcMar>
          </w:tcPr>
          <w:p>
            <w:pPr>
              <w:jc w:val="center"/>
            </w:pPr>
            <w:r>
              <w:rPr>
                <w:color w:val="333333"/>
                <w:sz w:val="19"/>
              </w:rPr>
              <w:t>Form JIEPA</w:t>
            </w:r>
          </w:p>
        </w:tc>
        <w:tc>
          <w:tcPr>
            <w:tcW w:type="dxa" w:w="1440"/>
            <w:shd w:fill="F9F9F9"/>
            <w:tcMar>
              <w:top w:w="100" w:type="dxa"/>
              <w:bottom w:w="100" w:type="dxa"/>
              <w:left w:w="150" w:type="dxa"/>
              <w:right w:w="150" w:type="dxa"/>
            </w:tcMar>
          </w:tcPr>
          <w:p>
            <w:pPr>
              <w:jc w:val="center"/>
            </w:pPr>
            <w:r>
              <w:rPr>
                <w:color w:val="333333"/>
                <w:sz w:val="19"/>
              </w:rPr>
              <w:t>3.2%</w:t>
            </w:r>
          </w:p>
        </w:tc>
        <w:tc>
          <w:tcPr>
            <w:tcW w:type="dxa" w:w="1728"/>
            <w:shd w:fill="F9F9F9"/>
            <w:tcMar>
              <w:top w:w="100" w:type="dxa"/>
              <w:bottom w:w="100" w:type="dxa"/>
              <w:left w:w="150" w:type="dxa"/>
              <w:right w:w="150" w:type="dxa"/>
            </w:tcMar>
          </w:tcPr>
          <w:p>
            <w:pPr>
              <w:jc w:val="center"/>
            </w:pPr>
            <w:r>
              <w:rPr>
                <w:color w:val="333333"/>
                <w:sz w:val="19"/>
              </w:rPr>
              <w:t>0% (Bebas Bea)</w:t>
            </w:r>
          </w:p>
        </w:tc>
      </w:tr>
      <w:tr>
        <w:tc>
          <w:tcPr>
            <w:tcW w:type="dxa" w:w="1728"/>
            <w:shd w:fill="FFFFFF"/>
            <w:tcMar>
              <w:top w:w="100" w:type="dxa"/>
              <w:bottom w:w="100" w:type="dxa"/>
              <w:left w:w="150" w:type="dxa"/>
              <w:right w:w="150" w:type="dxa"/>
            </w:tcMar>
          </w:tcPr>
          <w:p>
            <w:pPr>
              <w:jc w:val="left"/>
            </w:pPr>
            <w:r>
              <w:rPr>
                <w:color w:val="333333"/>
                <w:sz w:val="19"/>
              </w:rPr>
              <w:t>Korea Selatan</w:t>
            </w:r>
          </w:p>
        </w:tc>
        <w:tc>
          <w:tcPr>
            <w:tcW w:type="dxa" w:w="1872"/>
            <w:shd w:fill="FFFFFF"/>
            <w:tcMar>
              <w:top w:w="100" w:type="dxa"/>
              <w:bottom w:w="100" w:type="dxa"/>
              <w:left w:w="150" w:type="dxa"/>
              <w:right w:w="150" w:type="dxa"/>
            </w:tcMar>
          </w:tcPr>
          <w:p>
            <w:pPr>
              <w:jc w:val="center"/>
            </w:pPr>
            <w:r>
              <w:rPr>
                <w:color w:val="333333"/>
                <w:sz w:val="19"/>
              </w:rPr>
              <w:t>IK-CEPA / RCEP</w:t>
            </w:r>
          </w:p>
        </w:tc>
        <w:tc>
          <w:tcPr>
            <w:tcW w:type="dxa" w:w="1872"/>
            <w:shd w:fill="FFFFFF"/>
            <w:tcMar>
              <w:top w:w="100" w:type="dxa"/>
              <w:bottom w:w="100" w:type="dxa"/>
              <w:left w:w="150" w:type="dxa"/>
              <w:right w:w="150" w:type="dxa"/>
            </w:tcMar>
          </w:tcPr>
          <w:p>
            <w:pPr>
              <w:jc w:val="center"/>
            </w:pPr>
            <w:r>
              <w:rPr>
                <w:color w:val="333333"/>
                <w:sz w:val="19"/>
              </w:rPr>
              <w:t>Form IK-CEPA</w:t>
            </w:r>
          </w:p>
        </w:tc>
        <w:tc>
          <w:tcPr>
            <w:tcW w:type="dxa" w:w="1440"/>
            <w:shd w:fill="FFFFFF"/>
            <w:tcMar>
              <w:top w:w="100" w:type="dxa"/>
              <w:bottom w:w="100" w:type="dxa"/>
              <w:left w:w="150" w:type="dxa"/>
              <w:right w:w="150" w:type="dxa"/>
            </w:tcMar>
          </w:tcPr>
          <w:p>
            <w:pPr>
              <w:jc w:val="center"/>
            </w:pPr>
            <w:r>
              <w:rPr>
                <w:color w:val="333333"/>
                <w:sz w:val="19"/>
              </w:rPr>
              <w:t>8%</w:t>
            </w:r>
          </w:p>
        </w:tc>
        <w:tc>
          <w:tcPr>
            <w:tcW w:type="dxa" w:w="1728"/>
            <w:shd w:fill="FFFFFF"/>
            <w:tcMar>
              <w:top w:w="100" w:type="dxa"/>
              <w:bottom w:w="100" w:type="dxa"/>
              <w:left w:w="150" w:type="dxa"/>
              <w:right w:w="150" w:type="dxa"/>
            </w:tcMar>
          </w:tcPr>
          <w:p>
            <w:pPr>
              <w:jc w:val="center"/>
            </w:pPr>
            <w:r>
              <w:rPr>
                <w:color w:val="333333"/>
                <w:sz w:val="19"/>
              </w:rPr>
              <w:t>0% (Bebas Bea)</w:t>
            </w:r>
          </w:p>
        </w:tc>
      </w:tr>
    </w:tbl>
    <w:p>
      <w:pPr>
        <w:spacing w:after="120"/>
      </w:pPr>
    </w:p>
    <w:p>
      <w:pPr>
        <w:keepNext/>
        <w:spacing w:before="280" w:after="80"/>
      </w:pPr>
      <w:r>
        <w:rPr>
          <w:b/>
          <w:color w:val="B42828"/>
          <w:sz w:val="28"/>
        </w:rPr>
        <w:t>4. Standar Material, Keamanan Pangan &amp; Biosecurity</w:t>
      </w:r>
    </w:p>
    <w:p>
      <w:pPr>
        <w:keepNext/>
        <w:spacing w:before="200" w:after="40"/>
      </w:pPr>
      <w:r>
        <w:rPr>
          <w:b/>
          <w:color w:val="3C3C3C"/>
          <w:sz w:val="24"/>
        </w:rPr>
        <w:t>A. Wajib SUS 304 Food-Grade untuk Jeruji Panggangan</w:t>
      </w:r>
    </w:p>
    <w:p>
      <w:r>
        <w:t>Kawat besi galvanis (yang dilapisi seng/zinc coating) DILARANG KERAS digunakan pada area kontak makanan di negara maju. Seng akan menguap pada suhu tinggi (&gt;200°C) dan melepaskan uap beracun (metal fume fever). Seluruh jeruji panggangan (cooking grates) wajib diganti menggunakan Stainless Steel SUS 304 atau Cast Iron ber-seasoning minyak nabati.</w:t>
      </w:r>
    </w:p>
    <w:p>
      <w:pPr>
        <w:keepNext/>
        <w:spacing w:before="200" w:after="40"/>
      </w:pPr>
      <w:r>
        <w:rPr>
          <w:b/>
          <w:color w:val="3C3C3C"/>
          <w:sz w:val="24"/>
        </w:rPr>
        <w:t>B. Cat Tahan Panas &amp; MSDS</w:t>
      </w:r>
    </w:p>
    <w:p>
      <w:r>
        <w:t>Cat bodi harus tahan panas minimal 600°C dan bebas timbal (lead-free). Risma wajib melampirkan dokumen MSDS (Material Safety Data Sheet) dari produsen cat untuk keperluan bea cukai dan kepatuhan konsumen.</w:t>
      </w:r>
    </w:p>
    <w:p>
      <w:pPr>
        <w:keepNext/>
        <w:spacing w:before="200" w:after="40"/>
      </w:pPr>
      <w:r>
        <w:rPr>
          <w:b/>
          <w:color w:val="3C3C3C"/>
          <w:sz w:val="24"/>
        </w:rPr>
        <w:t>C. Regulasi Karantina Biosecurity (DAFF Australia)</w:t>
      </w:r>
    </w:p>
    <w:p>
      <w:r>
        <w:t>Semua kemasan kayu (peti / pallet) wajib bersertifikat Heat Treated (HT) berstempel resmi ISPM 15. Unit logam juga harus 100% bersih dari residu tanah, pasir, atau serangga mati untuk menghindari penyitaan oleh petugas karantina pelabuhan.</w:t>
      </w:r>
    </w:p>
    <w:p>
      <w:pPr>
        <w:keepNext/>
        <w:spacing w:before="280" w:after="80"/>
      </w:pPr>
      <w:r>
        <w:rPr>
          <w:b/>
          <w:color w:val="B42828"/>
          <w:sz w:val="28"/>
        </w:rPr>
        <w:t>5. Rekayasa Desain &amp; Logistik (Flat-Pack / Knock-Down)</w:t>
      </w:r>
    </w:p>
    <w:p>
      <w:r>
        <w:t>Panggangan utuh memakan ruang kubikasi (CBM) yang sangat besar dan membuat ongkos kargo melambung tinggi. Solusinya adalah menerapkan desain knock-down (bongkar-pasang):</w:t>
      </w:r>
    </w:p>
    <w:p>
      <w:pPr>
        <w:pStyle w:val="ListBullet"/>
      </w:pPr>
      <w:r>
        <w:rPr>
          <w:b/>
        </w:rPr>
        <w:t xml:space="preserve">Kaki Modular: </w:t>
      </w:r>
      <w:r>
        <w:t>Kaki panggangan dibuat terpisah dengan pengunci baut kuping (wing-nut) atau baut L agar mudah dirakit pembeli dalam &lt; 5 menit.</w:t>
      </w:r>
    </w:p>
    <w:p>
      <w:pPr>
        <w:pStyle w:val="ListBullet"/>
      </w:pPr>
      <w:r>
        <w:rPr>
          <w:b/>
        </w:rPr>
        <w:t xml:space="preserve">Meja Lipat &amp; Nesting: </w:t>
      </w:r>
      <w:r>
        <w:t>Meja samping menggunakan engsel lipat, dan seluruh komponen dalam (jeruji, rak arang) dapat dimasukkan ke dalam ruang drum saat dipacking.</w:t>
      </w:r>
    </w:p>
    <w:p>
      <w:pPr>
        <w:pStyle w:val="ListBullet"/>
      </w:pPr>
      <w:r>
        <w:rPr>
          <w:b/>
        </w:rPr>
        <w:t xml:space="preserve">Proteksi Karat Laut: </w:t>
      </w:r>
      <w:r>
        <w:t>Peti dikemas dengan plastik VCI (Vapor Corrosion Inhibitor) dan kantong silica gel aktif untuk mencegah korosi selama 3–4 minggu di laut.</w:t>
      </w:r>
    </w:p>
    <w:p>
      <w:pPr>
        <w:keepNext/>
        <w:spacing w:before="280" w:after="80"/>
      </w:pPr>
      <w:r>
        <w:rPr>
          <w:b/>
          <w:color w:val="B42828"/>
          <w:sz w:val="28"/>
        </w:rPr>
        <w:t>6. Roadmap Aksi untuk Risma (Bulan 1 – 4)</w:t>
      </w:r>
    </w:p>
    <w:p>
      <w:pPr>
        <w:pStyle w:val="ListBullet"/>
      </w:pPr>
      <w:r>
        <w:rPr>
          <w:b/>
        </w:rPr>
        <w:t xml:space="preserve">Bulan 1: Standardisasi Teknis: </w:t>
      </w:r>
      <w:r>
        <w:t>Belanja material jeruji Stainless Steel SUS 304, buat 1 unit prototipe knock-down, dan kumpulkan dokumen MSDS cat tahan panas.</w:t>
      </w:r>
    </w:p>
    <w:p>
      <w:pPr>
        <w:pStyle w:val="ListBullet"/>
      </w:pPr>
      <w:r>
        <w:rPr>
          <w:b/>
        </w:rPr>
        <w:t xml:space="preserve">Bulan 2: Kemasan &amp; Kalkulasi Logistik: </w:t>
      </w:r>
      <w:r>
        <w:t>Rancang kardus double-wall eksklusif, hubungi freight forwarder di Bali/Surabaya untuk simulasi tarif kargo laut LCL ke Fremantle, Melbourne, dan Singapura.</w:t>
      </w:r>
    </w:p>
    <w:p>
      <w:pPr>
        <w:pStyle w:val="ListBullet"/>
      </w:pPr>
      <w:r>
        <w:rPr>
          <w:b/>
        </w:rPr>
        <w:t xml:space="preserve">Bulan 3: Validasi Pasar Ekspatriat: </w:t>
      </w:r>
      <w:r>
        <w:t>Uji coba prototipe di villa rekanan di Canggu/Ubud, ambil foto/video high-res, dan susun Digital Export Catalog berbahasa Inggris.</w:t>
      </w:r>
    </w:p>
    <w:p>
      <w:pPr>
        <w:pStyle w:val="ListBullet"/>
      </w:pPr>
      <w:r>
        <w:rPr>
          <w:b/>
        </w:rPr>
        <w:t xml:space="preserve">Bulan 4: Eksekusi Trial Shipment: </w:t>
      </w:r>
      <w:r>
        <w:t>Terima pesanan perdana ekspor, kirim via skema LCL konsolidator, dan evaluasi kelancaran logistik serta kepatuhan karantina.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