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0"/>
        </w:rPr>
        <w:t>FREIGHT MANAGEMENT SYSTEM (FMS)</w:t>
        <w:br/>
        <w:t>BACKEND MASTERCLASS &amp; MINI-PROJECT BLUEPRINT</w:t>
      </w:r>
    </w:p>
    <w:p>
      <w:pPr>
        <w:spacing w:after="200"/>
      </w:pPr>
      <w:r>
        <w:rPr>
          <w:rFonts w:ascii="Calibri" w:hAnsi="Calibri"/>
          <w:color w:val="646464"/>
          <w:sz w:val="22"/>
        </w:rPr>
        <w:t>Arsitektur Domain, Integrasi CargoWise, Ekosistem .NET, dan Panduan Praktis Mini-Project 'MiniFMS'.</w:t>
      </w:r>
    </w:p>
    <w:tbl>
      <w:tblPr>
        <w:tblW w:type="auto" w:w="0"/>
        <w:jc w:val="center"/>
        <w:tblLayout w:type="fixed"/>
        <w:tblLook w:firstColumn="1" w:firstRow="1" w:lastColumn="0" w:lastRow="0" w:noHBand="0" w:noVBand="1" w:val="04A0"/>
      </w:tblPr>
      <w:tblGrid>
        <w:gridCol w:w="9792"/>
      </w:tblGrid>
      <w:tr>
        <w:tc>
          <w:tcPr>
            <w:tcW w:type="dxa" w:w="9936"/>
            <w:shd w:fill="F0F4F8"/>
            <w:tcMar>
              <w:top w:w="100" w:type="dxa"/>
              <w:bottom w:w="100" w:type="dxa"/>
              <w:left w:w="140" w:type="dxa"/>
              <w:right w:w="140" w:type="dxa"/>
            </w:tcMar>
            <w:tcBorders>
              <w:left w:val="single" w:sz="24" w:space="0" w:color="1E3A8A"/>
              <w:top w:val="none"/>
              <w:right w:val="none"/>
              <w:bottom w:val="none"/>
            </w:tcBorders>
          </w:tcPr>
          <w:p>
            <w:pPr>
              <w:spacing w:before="40" w:after="40"/>
            </w:pPr>
            <w:r>
              <w:rPr>
                <w:rFonts w:ascii="Calibri" w:hAnsi="Calibri"/>
                <w:b/>
                <w:color w:val="1E3A8A"/>
                <w:sz w:val="20"/>
              </w:rPr>
              <w:t>📌 TUJUAN DOKUMEN</w:t>
              <w:br/>
            </w:r>
            <w:r>
              <w:rPr>
                <w:rFonts w:ascii="Calibri" w:hAnsi="Calibri"/>
                <w:color w:val="333333"/>
                <w:sz w:val="19"/>
              </w:rPr>
              <w:t>Dokumen ini menyediakan landasan teori, analisis domain logistik, pemetaan arsitektur .NET / C#, serta rancangan step-by-step pembuatan mini-project praktis ('MiniFMS') untuk mengasah keterampilan Anda menjelang persiapan kerja di OneByOne Logistical.</w:t>
            </w:r>
          </w:p>
        </w:tc>
      </w:tr>
    </w:tbl>
    <w:p>
      <w:pPr>
        <w:spacing w:after="60" w:before="0"/>
      </w:pPr>
    </w:p>
    <w:p>
      <w:pPr>
        <w:pStyle w:val="Heading1"/>
        <w:keepNext/>
        <w:spacing w:before="280" w:after="80"/>
      </w:pPr>
      <w:r>
        <w:rPr>
          <w:rFonts w:ascii="Calibri" w:hAnsi="Calibri"/>
          <w:color w:val="1E3A8A"/>
          <w:sz w:val="30"/>
        </w:rPr>
        <w:t>1. Domain Fundamental Freight Forwarding &amp; FMS</w:t>
      </w:r>
    </w:p>
    <w:p>
      <w:pPr>
        <w:spacing w:before="0" w:after="60" w:line="276" w:lineRule="auto"/>
      </w:pPr>
      <w:r>
        <w:rPr>
          <w:rFonts w:ascii="Calibri" w:hAnsi="Calibri"/>
          <w:i w:val="0"/>
          <w:color w:val="333333"/>
          <w:sz w:val="20"/>
        </w:rPr>
        <w:t>Freight Management System (FMS) adalah sistem operasional inti dalam industri freight forwarding yang mengoordinasikan pergerakan muatan global lintas moda (Laut, Udara, dan Darat). FMS menghubungkan entitas Shipper (pemilik barang), Carrier (maskapai atau pelayaran pengangkut), Bea Cukai (Customs), Pelabuhan (Terminal), dan Consignee (penerima akhir).</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3A8A"/>
            <w:tcMar>
              <w:top w:w="80" w:type="dxa"/>
              <w:bottom w:w="80" w:type="dxa"/>
              <w:left w:w="100" w:type="dxa"/>
              <w:right w:w="100" w:type="dxa"/>
            </w:tcMar>
          </w:tcPr>
          <w:p>
            <w:pPr>
              <w:jc w:val="center"/>
            </w:pPr>
            <w:r>
              <w:rPr>
                <w:rFonts w:ascii="Calibri" w:hAnsi="Calibri"/>
                <w:b/>
                <w:color w:val="FFFFFF"/>
                <w:sz w:val="18"/>
              </w:rPr>
              <w:t>Terminologi</w:t>
            </w:r>
          </w:p>
        </w:tc>
        <w:tc>
          <w:tcPr>
            <w:tcW w:type="dxa" w:w="1296"/>
            <w:shd w:fill="1E3A8A"/>
            <w:tcMar>
              <w:top w:w="80" w:type="dxa"/>
              <w:bottom w:w="80" w:type="dxa"/>
              <w:left w:w="100" w:type="dxa"/>
              <w:right w:w="100" w:type="dxa"/>
            </w:tcMar>
          </w:tcPr>
          <w:p>
            <w:pPr>
              <w:jc w:val="center"/>
            </w:pPr>
            <w:r>
              <w:rPr>
                <w:rFonts w:ascii="Calibri" w:hAnsi="Calibri"/>
                <w:b/>
                <w:color w:val="FFFFFF"/>
                <w:sz w:val="18"/>
              </w:rPr>
              <w:t>Kategori</w:t>
            </w:r>
          </w:p>
        </w:tc>
        <w:tc>
          <w:tcPr>
            <w:tcW w:type="dxa" w:w="6336"/>
            <w:shd w:fill="1E3A8A"/>
            <w:tcMar>
              <w:top w:w="80" w:type="dxa"/>
              <w:bottom w:w="80" w:type="dxa"/>
              <w:left w:w="100" w:type="dxa"/>
              <w:right w:w="100" w:type="dxa"/>
            </w:tcMar>
          </w:tcPr>
          <w:p>
            <w:pPr>
              <w:jc w:val="center"/>
            </w:pPr>
            <w:r>
              <w:rPr>
                <w:rFonts w:ascii="Calibri" w:hAnsi="Calibri"/>
                <w:b/>
                <w:color w:val="FFFFFF"/>
                <w:sz w:val="18"/>
              </w:rPr>
              <w:t>Definisi &amp; Signifikansi Sistem</w:t>
            </w:r>
          </w:p>
        </w:tc>
      </w:tr>
      <w:tr>
        <w:tc>
          <w:tcPr>
            <w:tcW w:type="dxa" w:w="2160"/>
            <w:shd w:fill="FFFFFF"/>
            <w:tcMar>
              <w:top w:w="60" w:type="dxa"/>
              <w:bottom w:w="60" w:type="dxa"/>
              <w:left w:w="100" w:type="dxa"/>
              <w:right w:w="100" w:type="dxa"/>
            </w:tcMar>
          </w:tcPr>
          <w:p>
            <w:r>
              <w:rPr>
                <w:rFonts w:ascii="Calibri" w:hAnsi="Calibri"/>
                <w:color w:val="333333"/>
                <w:sz w:val="17"/>
              </w:rPr>
              <w:t>FCL (Full Container Load)</w:t>
            </w:r>
          </w:p>
        </w:tc>
        <w:tc>
          <w:tcPr>
            <w:tcW w:type="dxa" w:w="1296"/>
            <w:shd w:fill="FFFFFF"/>
            <w:tcMar>
              <w:top w:w="60" w:type="dxa"/>
              <w:bottom w:w="60" w:type="dxa"/>
              <w:left w:w="100" w:type="dxa"/>
              <w:right w:w="100" w:type="dxa"/>
            </w:tcMar>
          </w:tcPr>
          <w:p>
            <w:r>
              <w:rPr>
                <w:rFonts w:ascii="Calibri" w:hAnsi="Calibri"/>
                <w:color w:val="333333"/>
                <w:sz w:val="17"/>
              </w:rPr>
              <w:t>Ocean</w:t>
            </w:r>
          </w:p>
        </w:tc>
        <w:tc>
          <w:tcPr>
            <w:tcW w:type="dxa" w:w="6336"/>
            <w:shd w:fill="FFFFFF"/>
            <w:tcMar>
              <w:top w:w="60" w:type="dxa"/>
              <w:bottom w:w="60" w:type="dxa"/>
              <w:left w:w="100" w:type="dxa"/>
              <w:right w:w="100" w:type="dxa"/>
            </w:tcMar>
          </w:tcPr>
          <w:p>
            <w:r>
              <w:rPr>
                <w:rFonts w:ascii="Calibri" w:hAnsi="Calibri"/>
                <w:color w:val="333333"/>
                <w:sz w:val="17"/>
              </w:rPr>
              <w:t>Pengiriman kontainer penuh oleh satu shipper. Identifikasi nomor kontainer (misal: MSKU1234567) adalah primary key tracking.</w:t>
            </w:r>
          </w:p>
        </w:tc>
      </w:tr>
      <w:tr>
        <w:tc>
          <w:tcPr>
            <w:tcW w:type="dxa" w:w="2160"/>
            <w:shd w:fill="F8FAFC"/>
            <w:tcMar>
              <w:top w:w="60" w:type="dxa"/>
              <w:bottom w:w="60" w:type="dxa"/>
              <w:left w:w="100" w:type="dxa"/>
              <w:right w:w="100" w:type="dxa"/>
            </w:tcMar>
          </w:tcPr>
          <w:p>
            <w:r>
              <w:rPr>
                <w:rFonts w:ascii="Calibri" w:hAnsi="Calibri"/>
                <w:color w:val="333333"/>
                <w:sz w:val="17"/>
              </w:rPr>
              <w:t>LCL (Less Container Load)</w:t>
            </w:r>
          </w:p>
        </w:tc>
        <w:tc>
          <w:tcPr>
            <w:tcW w:type="dxa" w:w="1296"/>
            <w:shd w:fill="F8FAFC"/>
            <w:tcMar>
              <w:top w:w="60" w:type="dxa"/>
              <w:bottom w:w="60" w:type="dxa"/>
              <w:left w:w="100" w:type="dxa"/>
              <w:right w:w="100" w:type="dxa"/>
            </w:tcMar>
          </w:tcPr>
          <w:p>
            <w:r>
              <w:rPr>
                <w:rFonts w:ascii="Calibri" w:hAnsi="Calibri"/>
                <w:color w:val="333333"/>
                <w:sz w:val="17"/>
              </w:rPr>
              <w:t>Ocean</w:t>
            </w:r>
          </w:p>
        </w:tc>
        <w:tc>
          <w:tcPr>
            <w:tcW w:type="dxa" w:w="6336"/>
            <w:shd w:fill="F8FAFC"/>
            <w:tcMar>
              <w:top w:w="60" w:type="dxa"/>
              <w:bottom w:w="60" w:type="dxa"/>
              <w:left w:w="100" w:type="dxa"/>
              <w:right w:w="100" w:type="dxa"/>
            </w:tcMar>
          </w:tcPr>
          <w:p>
            <w:r>
              <w:rPr>
                <w:rFonts w:ascii="Calibri" w:hAnsi="Calibri"/>
                <w:color w:val="333333"/>
                <w:sz w:val="17"/>
              </w:rPr>
              <w:t>Konsolidasi muatan kecil dari banyak shipper ke dalam satu kontainer bersama di Container Freight Station (CFS).</w:t>
            </w:r>
          </w:p>
        </w:tc>
      </w:tr>
      <w:tr>
        <w:tc>
          <w:tcPr>
            <w:tcW w:type="dxa" w:w="2160"/>
            <w:shd w:fill="FFFFFF"/>
            <w:tcMar>
              <w:top w:w="60" w:type="dxa"/>
              <w:bottom w:w="60" w:type="dxa"/>
              <w:left w:w="100" w:type="dxa"/>
              <w:right w:w="100" w:type="dxa"/>
            </w:tcMar>
          </w:tcPr>
          <w:p>
            <w:r>
              <w:rPr>
                <w:rFonts w:ascii="Calibri" w:hAnsi="Calibri"/>
                <w:color w:val="333333"/>
                <w:sz w:val="17"/>
              </w:rPr>
              <w:t>CBM &amp; Volumetric Weight</w:t>
            </w:r>
          </w:p>
        </w:tc>
        <w:tc>
          <w:tcPr>
            <w:tcW w:type="dxa" w:w="1296"/>
            <w:shd w:fill="FFFFFF"/>
            <w:tcMar>
              <w:top w:w="60" w:type="dxa"/>
              <w:bottom w:w="60" w:type="dxa"/>
              <w:left w:w="100" w:type="dxa"/>
              <w:right w:w="100" w:type="dxa"/>
            </w:tcMar>
          </w:tcPr>
          <w:p>
            <w:r>
              <w:rPr>
                <w:rFonts w:ascii="Calibri" w:hAnsi="Calibri"/>
                <w:color w:val="333333"/>
                <w:sz w:val="17"/>
              </w:rPr>
              <w:t>Kalkulasi</w:t>
            </w:r>
          </w:p>
        </w:tc>
        <w:tc>
          <w:tcPr>
            <w:tcW w:type="dxa" w:w="6336"/>
            <w:shd w:fill="FFFFFF"/>
            <w:tcMar>
              <w:top w:w="60" w:type="dxa"/>
              <w:bottom w:w="60" w:type="dxa"/>
              <w:left w:w="100" w:type="dxa"/>
              <w:right w:w="100" w:type="dxa"/>
            </w:tcMar>
          </w:tcPr>
          <w:p>
            <w:r>
              <w:rPr>
                <w:rFonts w:ascii="Calibri" w:hAnsi="Calibri"/>
                <w:color w:val="333333"/>
                <w:sz w:val="17"/>
              </w:rPr>
              <w:t>Dasar penetapan tarif. Laut: 1 CBM = 1000 kg. Udara: 1 CBM = 167 kg. Penagihan memakai chargeable weight tertinggi.</w:t>
            </w:r>
          </w:p>
        </w:tc>
      </w:tr>
      <w:tr>
        <w:tc>
          <w:tcPr>
            <w:tcW w:type="dxa" w:w="2160"/>
            <w:shd w:fill="F8FAFC"/>
            <w:tcMar>
              <w:top w:w="60" w:type="dxa"/>
              <w:bottom w:w="60" w:type="dxa"/>
              <w:left w:w="100" w:type="dxa"/>
              <w:right w:w="100" w:type="dxa"/>
            </w:tcMar>
          </w:tcPr>
          <w:p>
            <w:r>
              <w:rPr>
                <w:rFonts w:ascii="Calibri" w:hAnsi="Calibri"/>
                <w:color w:val="333333"/>
                <w:sz w:val="17"/>
              </w:rPr>
              <w:t>Incoterms 2020</w:t>
            </w:r>
          </w:p>
        </w:tc>
        <w:tc>
          <w:tcPr>
            <w:tcW w:type="dxa" w:w="1296"/>
            <w:shd w:fill="F8FAFC"/>
            <w:tcMar>
              <w:top w:w="60" w:type="dxa"/>
              <w:bottom w:w="60" w:type="dxa"/>
              <w:left w:w="100" w:type="dxa"/>
              <w:right w:w="100" w:type="dxa"/>
            </w:tcMar>
          </w:tcPr>
          <w:p>
            <w:r>
              <w:rPr>
                <w:rFonts w:ascii="Calibri" w:hAnsi="Calibri"/>
                <w:color w:val="333333"/>
                <w:sz w:val="17"/>
              </w:rPr>
              <w:t>Legal Trade</w:t>
            </w:r>
          </w:p>
        </w:tc>
        <w:tc>
          <w:tcPr>
            <w:tcW w:type="dxa" w:w="6336"/>
            <w:shd w:fill="F8FAFC"/>
            <w:tcMar>
              <w:top w:w="60" w:type="dxa"/>
              <w:bottom w:w="60" w:type="dxa"/>
              <w:left w:w="100" w:type="dxa"/>
              <w:right w:w="100" w:type="dxa"/>
            </w:tcMar>
          </w:tcPr>
          <w:p>
            <w:r>
              <w:rPr>
                <w:rFonts w:ascii="Calibri" w:hAnsi="Calibri"/>
                <w:color w:val="333333"/>
                <w:sz w:val="17"/>
              </w:rPr>
              <w:t>Aturan pembagian biaya &amp; risiko internasional (FOB, CIF, DDP, EXW).</w:t>
            </w:r>
          </w:p>
        </w:tc>
      </w:tr>
      <w:tr>
        <w:tc>
          <w:tcPr>
            <w:tcW w:type="dxa" w:w="2160"/>
            <w:shd w:fill="FFFFFF"/>
            <w:tcMar>
              <w:top w:w="60" w:type="dxa"/>
              <w:bottom w:w="60" w:type="dxa"/>
              <w:left w:w="100" w:type="dxa"/>
              <w:right w:w="100" w:type="dxa"/>
            </w:tcMar>
          </w:tcPr>
          <w:p>
            <w:r>
              <w:rPr>
                <w:rFonts w:ascii="Calibri" w:hAnsi="Calibri"/>
                <w:color w:val="333333"/>
                <w:sz w:val="17"/>
              </w:rPr>
              <w:t>UN/LOCODE</w:t>
            </w:r>
          </w:p>
        </w:tc>
        <w:tc>
          <w:tcPr>
            <w:tcW w:type="dxa" w:w="1296"/>
            <w:shd w:fill="FFFFFF"/>
            <w:tcMar>
              <w:top w:w="60" w:type="dxa"/>
              <w:bottom w:w="60" w:type="dxa"/>
              <w:left w:w="100" w:type="dxa"/>
              <w:right w:w="100" w:type="dxa"/>
            </w:tcMar>
          </w:tcPr>
          <w:p>
            <w:r>
              <w:rPr>
                <w:rFonts w:ascii="Calibri" w:hAnsi="Calibri"/>
                <w:color w:val="333333"/>
                <w:sz w:val="17"/>
              </w:rPr>
              <w:t>Standarisasi</w:t>
            </w:r>
          </w:p>
        </w:tc>
        <w:tc>
          <w:tcPr>
            <w:tcW w:type="dxa" w:w="6336"/>
            <w:shd w:fill="FFFFFF"/>
            <w:tcMar>
              <w:top w:w="60" w:type="dxa"/>
              <w:bottom w:w="60" w:type="dxa"/>
              <w:left w:w="100" w:type="dxa"/>
              <w:right w:w="100" w:type="dxa"/>
            </w:tcMar>
          </w:tcPr>
          <w:p>
            <w:r>
              <w:rPr>
                <w:rFonts w:ascii="Calibri" w:hAnsi="Calibri"/>
                <w:color w:val="333333"/>
                <w:sz w:val="17"/>
              </w:rPr>
              <w:t>Kode 5 karakter lokasi pelabuhan global (IDJKT, SGSIN, USLAX).</w:t>
            </w:r>
          </w:p>
        </w:tc>
      </w:tr>
    </w:tbl>
    <w:p>
      <w:pPr>
        <w:spacing w:after="60"/>
      </w:pPr>
    </w:p>
    <w:p>
      <w:pPr>
        <w:pStyle w:val="Heading1"/>
        <w:keepNext/>
        <w:spacing w:before="280" w:after="80"/>
      </w:pPr>
      <w:r>
        <w:rPr>
          <w:rFonts w:ascii="Calibri" w:hAnsi="Calibri"/>
          <w:color w:val="1E3A8A"/>
          <w:sz w:val="30"/>
        </w:rPr>
        <w:t>2. Siklus Dokumen Pengapalan (The Legal Core)</w:t>
      </w:r>
    </w:p>
    <w:p>
      <w:pPr>
        <w:spacing w:before="0" w:after="60" w:line="276" w:lineRule="auto"/>
      </w:pPr>
      <w:r>
        <w:rPr>
          <w:rFonts w:ascii="Calibri" w:hAnsi="Calibri"/>
          <w:i w:val="0"/>
          <w:color w:val="333333"/>
          <w:sz w:val="20"/>
        </w:rPr>
        <w:t>FMS bukan sekadar tracker status, melainkan sistem penerbitan dokumen hukum legal internasional. Setiap shipment memiliki hierarki dokumen yang wajib divalidasi ketat: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fill="1E3A8A"/>
            <w:tcMar>
              <w:top w:w="80" w:type="dxa"/>
              <w:bottom w:w="80" w:type="dxa"/>
              <w:left w:w="100" w:type="dxa"/>
              <w:right w:w="100" w:type="dxa"/>
            </w:tcMar>
          </w:tcPr>
          <w:p>
            <w:pPr>
              <w:jc w:val="center"/>
            </w:pPr>
            <w:r>
              <w:rPr>
                <w:rFonts w:ascii="Calibri" w:hAnsi="Calibri"/>
                <w:b/>
                <w:color w:val="FFFFFF"/>
                <w:sz w:val="18"/>
              </w:rPr>
              <w:t>Dokumen</w:t>
            </w:r>
          </w:p>
        </w:tc>
        <w:tc>
          <w:tcPr>
            <w:tcW w:type="dxa" w:w="1728"/>
            <w:shd w:fill="1E3A8A"/>
            <w:tcMar>
              <w:top w:w="80" w:type="dxa"/>
              <w:bottom w:w="80" w:type="dxa"/>
              <w:left w:w="100" w:type="dxa"/>
              <w:right w:w="100" w:type="dxa"/>
            </w:tcMar>
          </w:tcPr>
          <w:p>
            <w:pPr>
              <w:jc w:val="center"/>
            </w:pPr>
            <w:r>
              <w:rPr>
                <w:rFonts w:ascii="Calibri" w:hAnsi="Calibri"/>
                <w:b/>
                <w:color w:val="FFFFFF"/>
                <w:sz w:val="18"/>
              </w:rPr>
              <w:t>Penerbit</w:t>
            </w:r>
          </w:p>
        </w:tc>
        <w:tc>
          <w:tcPr>
            <w:tcW w:type="dxa" w:w="1584"/>
            <w:shd w:fill="1E3A8A"/>
            <w:tcMar>
              <w:top w:w="80" w:type="dxa"/>
              <w:bottom w:w="80" w:type="dxa"/>
              <w:left w:w="100" w:type="dxa"/>
              <w:right w:w="100" w:type="dxa"/>
            </w:tcMar>
          </w:tcPr>
          <w:p>
            <w:pPr>
              <w:jc w:val="center"/>
            </w:pPr>
            <w:r>
              <w:rPr>
                <w:rFonts w:ascii="Calibri" w:hAnsi="Calibri"/>
                <w:b/>
                <w:color w:val="FFFFFF"/>
                <w:sz w:val="18"/>
              </w:rPr>
              <w:t>Penerima</w:t>
            </w:r>
          </w:p>
        </w:tc>
        <w:tc>
          <w:tcPr>
            <w:tcW w:type="dxa" w:w="4608"/>
            <w:shd w:fill="1E3A8A"/>
            <w:tcMar>
              <w:top w:w="80" w:type="dxa"/>
              <w:bottom w:w="80" w:type="dxa"/>
              <w:left w:w="100" w:type="dxa"/>
              <w:right w:w="100" w:type="dxa"/>
            </w:tcMar>
          </w:tcPr>
          <w:p>
            <w:pPr>
              <w:jc w:val="center"/>
            </w:pPr>
            <w:r>
              <w:rPr>
                <w:rFonts w:ascii="Calibri" w:hAnsi="Calibri"/>
                <w:b/>
                <w:color w:val="FFFFFF"/>
                <w:sz w:val="18"/>
              </w:rPr>
              <w:t>Fungsi Hukum &amp; Pemetaan DB</w:t>
            </w:r>
          </w:p>
        </w:tc>
      </w:tr>
      <w:tr>
        <w:tc>
          <w:tcPr>
            <w:tcW w:type="dxa" w:w="1872"/>
            <w:shd w:fill="FFFFFF"/>
            <w:tcMar>
              <w:top w:w="60" w:type="dxa"/>
              <w:bottom w:w="60" w:type="dxa"/>
              <w:left w:w="100" w:type="dxa"/>
              <w:right w:w="100" w:type="dxa"/>
            </w:tcMar>
          </w:tcPr>
          <w:p>
            <w:r>
              <w:rPr>
                <w:rFonts w:ascii="Calibri" w:hAnsi="Calibri"/>
                <w:color w:val="333333"/>
                <w:sz w:val="17"/>
              </w:rPr>
              <w:t>Master B/L (MBL)</w:t>
            </w:r>
          </w:p>
        </w:tc>
        <w:tc>
          <w:tcPr>
            <w:tcW w:type="dxa" w:w="1728"/>
            <w:shd w:fill="FFFFFF"/>
            <w:tcMar>
              <w:top w:w="60" w:type="dxa"/>
              <w:bottom w:w="60" w:type="dxa"/>
              <w:left w:w="100" w:type="dxa"/>
              <w:right w:w="100" w:type="dxa"/>
            </w:tcMar>
          </w:tcPr>
          <w:p>
            <w:r>
              <w:rPr>
                <w:rFonts w:ascii="Calibri" w:hAnsi="Calibri"/>
                <w:color w:val="333333"/>
                <w:sz w:val="17"/>
              </w:rPr>
              <w:t>Shipping Line (Carrier)</w:t>
            </w:r>
          </w:p>
        </w:tc>
        <w:tc>
          <w:tcPr>
            <w:tcW w:type="dxa" w:w="1584"/>
            <w:shd w:fill="FFFFFF"/>
            <w:tcMar>
              <w:top w:w="60" w:type="dxa"/>
              <w:bottom w:w="60" w:type="dxa"/>
              <w:left w:w="100" w:type="dxa"/>
              <w:right w:w="100" w:type="dxa"/>
            </w:tcMar>
          </w:tcPr>
          <w:p>
            <w:r>
              <w:rPr>
                <w:rFonts w:ascii="Calibri" w:hAnsi="Calibri"/>
                <w:color w:val="333333"/>
                <w:sz w:val="17"/>
              </w:rPr>
              <w:t>Forwarder (OneByOne)</w:t>
            </w:r>
          </w:p>
        </w:tc>
        <w:tc>
          <w:tcPr>
            <w:tcW w:type="dxa" w:w="4608"/>
            <w:shd w:fill="FFFFFF"/>
            <w:tcMar>
              <w:top w:w="60" w:type="dxa"/>
              <w:bottom w:w="60" w:type="dxa"/>
              <w:left w:w="100" w:type="dxa"/>
              <w:right w:w="100" w:type="dxa"/>
            </w:tcMar>
          </w:tcPr>
          <w:p>
            <w:r>
              <w:rPr>
                <w:rFonts w:ascii="Calibri" w:hAnsi="Calibri"/>
                <w:color w:val="333333"/>
                <w:sz w:val="17"/>
              </w:rPr>
              <w:t>Kontrak angkutan utama pelayaran. Menentukan slot kapal, nomor voyage, dan feeder legs.</w:t>
            </w:r>
          </w:p>
        </w:tc>
      </w:tr>
      <w:tr>
        <w:tc>
          <w:tcPr>
            <w:tcW w:type="dxa" w:w="1872"/>
            <w:shd w:fill="F8FAFC"/>
            <w:tcMar>
              <w:top w:w="60" w:type="dxa"/>
              <w:bottom w:w="60" w:type="dxa"/>
              <w:left w:w="100" w:type="dxa"/>
              <w:right w:w="100" w:type="dxa"/>
            </w:tcMar>
          </w:tcPr>
          <w:p>
            <w:r>
              <w:rPr>
                <w:rFonts w:ascii="Calibri" w:hAnsi="Calibri"/>
                <w:color w:val="333333"/>
                <w:sz w:val="17"/>
              </w:rPr>
              <w:t>House B/L (HBL)</w:t>
            </w:r>
          </w:p>
        </w:tc>
        <w:tc>
          <w:tcPr>
            <w:tcW w:type="dxa" w:w="1728"/>
            <w:shd w:fill="F8FAFC"/>
            <w:tcMar>
              <w:top w:w="60" w:type="dxa"/>
              <w:bottom w:w="60" w:type="dxa"/>
              <w:left w:w="100" w:type="dxa"/>
              <w:right w:w="100" w:type="dxa"/>
            </w:tcMar>
          </w:tcPr>
          <w:p>
            <w:r>
              <w:rPr>
                <w:rFonts w:ascii="Calibri" w:hAnsi="Calibri"/>
                <w:color w:val="333333"/>
                <w:sz w:val="17"/>
              </w:rPr>
              <w:t>Forwarder (OneByOne)</w:t>
            </w:r>
          </w:p>
        </w:tc>
        <w:tc>
          <w:tcPr>
            <w:tcW w:type="dxa" w:w="1584"/>
            <w:shd w:fill="F8FAFC"/>
            <w:tcMar>
              <w:top w:w="60" w:type="dxa"/>
              <w:bottom w:w="60" w:type="dxa"/>
              <w:left w:w="100" w:type="dxa"/>
              <w:right w:w="100" w:type="dxa"/>
            </w:tcMar>
          </w:tcPr>
          <w:p>
            <w:r>
              <w:rPr>
                <w:rFonts w:ascii="Calibri" w:hAnsi="Calibri"/>
                <w:color w:val="333333"/>
                <w:sz w:val="17"/>
              </w:rPr>
              <w:t>Shipper Klien</w:t>
            </w:r>
          </w:p>
        </w:tc>
        <w:tc>
          <w:tcPr>
            <w:tcW w:type="dxa" w:w="4608"/>
            <w:shd w:fill="F8FAFC"/>
            <w:tcMar>
              <w:top w:w="60" w:type="dxa"/>
              <w:bottom w:w="60" w:type="dxa"/>
              <w:left w:w="100" w:type="dxa"/>
              <w:right w:w="100" w:type="dxa"/>
            </w:tcMar>
          </w:tcPr>
          <w:p>
            <w:r>
              <w:rPr>
                <w:rFonts w:ascii="Calibri" w:hAnsi="Calibri"/>
                <w:color w:val="333333"/>
                <w:sz w:val="17"/>
              </w:rPr>
              <w:t>Dokumen bukti kepemilikan kargo (Title of Goods) yang diserahkan ke pemilik kargo asli.</w:t>
            </w:r>
          </w:p>
        </w:tc>
      </w:tr>
      <w:tr>
        <w:tc>
          <w:tcPr>
            <w:tcW w:type="dxa" w:w="1872"/>
            <w:shd w:fill="FFFFFF"/>
            <w:tcMar>
              <w:top w:w="60" w:type="dxa"/>
              <w:bottom w:w="60" w:type="dxa"/>
              <w:left w:w="100" w:type="dxa"/>
              <w:right w:w="100" w:type="dxa"/>
            </w:tcMar>
          </w:tcPr>
          <w:p>
            <w:r>
              <w:rPr>
                <w:rFonts w:ascii="Calibri" w:hAnsi="Calibri"/>
                <w:color w:val="333333"/>
                <w:sz w:val="17"/>
              </w:rPr>
              <w:t>Master / House AWB</w:t>
            </w:r>
          </w:p>
        </w:tc>
        <w:tc>
          <w:tcPr>
            <w:tcW w:type="dxa" w:w="1728"/>
            <w:shd w:fill="FFFFFF"/>
            <w:tcMar>
              <w:top w:w="60" w:type="dxa"/>
              <w:bottom w:w="60" w:type="dxa"/>
              <w:left w:w="100" w:type="dxa"/>
              <w:right w:w="100" w:type="dxa"/>
            </w:tcMar>
          </w:tcPr>
          <w:p>
            <w:r>
              <w:rPr>
                <w:rFonts w:ascii="Calibri" w:hAnsi="Calibri"/>
                <w:color w:val="333333"/>
                <w:sz w:val="17"/>
              </w:rPr>
              <w:t>Airline / Forwarder</w:t>
            </w:r>
          </w:p>
        </w:tc>
        <w:tc>
          <w:tcPr>
            <w:tcW w:type="dxa" w:w="1584"/>
            <w:shd w:fill="FFFFFF"/>
            <w:tcMar>
              <w:top w:w="60" w:type="dxa"/>
              <w:bottom w:w="60" w:type="dxa"/>
              <w:left w:w="100" w:type="dxa"/>
              <w:right w:w="100" w:type="dxa"/>
            </w:tcMar>
          </w:tcPr>
          <w:p>
            <w:r>
              <w:rPr>
                <w:rFonts w:ascii="Calibri" w:hAnsi="Calibri"/>
                <w:color w:val="333333"/>
                <w:sz w:val="17"/>
              </w:rPr>
              <w:t>Shipper</w:t>
            </w:r>
          </w:p>
        </w:tc>
        <w:tc>
          <w:tcPr>
            <w:tcW w:type="dxa" w:w="4608"/>
            <w:shd w:fill="FFFFFF"/>
            <w:tcMar>
              <w:top w:w="60" w:type="dxa"/>
              <w:bottom w:w="60" w:type="dxa"/>
              <w:left w:w="100" w:type="dxa"/>
              <w:right w:w="100" w:type="dxa"/>
            </w:tcMar>
          </w:tcPr>
          <w:p>
            <w:r>
              <w:rPr>
                <w:rFonts w:ascii="Calibri" w:hAnsi="Calibri"/>
                <w:color w:val="333333"/>
                <w:sz w:val="17"/>
              </w:rPr>
              <w:t>Dokumen angkutan udara. Bersifat non-negotiable (bukan dokumen hak milik).</w:t>
            </w:r>
          </w:p>
        </w:tc>
      </w:tr>
      <w:tr>
        <w:tc>
          <w:tcPr>
            <w:tcW w:type="dxa" w:w="1872"/>
            <w:shd w:fill="F8FAFC"/>
            <w:tcMar>
              <w:top w:w="60" w:type="dxa"/>
              <w:bottom w:w="60" w:type="dxa"/>
              <w:left w:w="100" w:type="dxa"/>
              <w:right w:w="100" w:type="dxa"/>
            </w:tcMar>
          </w:tcPr>
          <w:p>
            <w:r>
              <w:rPr>
                <w:rFonts w:ascii="Calibri" w:hAnsi="Calibri"/>
                <w:color w:val="333333"/>
                <w:sz w:val="17"/>
              </w:rPr>
              <w:t>Shipping Instruction (SI)</w:t>
            </w:r>
          </w:p>
        </w:tc>
        <w:tc>
          <w:tcPr>
            <w:tcW w:type="dxa" w:w="1728"/>
            <w:shd w:fill="F8FAFC"/>
            <w:tcMar>
              <w:top w:w="60" w:type="dxa"/>
              <w:bottom w:w="60" w:type="dxa"/>
              <w:left w:w="100" w:type="dxa"/>
              <w:right w:w="100" w:type="dxa"/>
            </w:tcMar>
          </w:tcPr>
          <w:p>
            <w:r>
              <w:rPr>
                <w:rFonts w:ascii="Calibri" w:hAnsi="Calibri"/>
                <w:color w:val="333333"/>
                <w:sz w:val="17"/>
              </w:rPr>
              <w:t>Shipper</w:t>
            </w:r>
          </w:p>
        </w:tc>
        <w:tc>
          <w:tcPr>
            <w:tcW w:type="dxa" w:w="1584"/>
            <w:shd w:fill="F8FAFC"/>
            <w:tcMar>
              <w:top w:w="60" w:type="dxa"/>
              <w:bottom w:w="60" w:type="dxa"/>
              <w:left w:w="100" w:type="dxa"/>
              <w:right w:w="100" w:type="dxa"/>
            </w:tcMar>
          </w:tcPr>
          <w:p>
            <w:r>
              <w:rPr>
                <w:rFonts w:ascii="Calibri" w:hAnsi="Calibri"/>
                <w:color w:val="333333"/>
                <w:sz w:val="17"/>
              </w:rPr>
              <w:t>Forwarder</w:t>
            </w:r>
          </w:p>
        </w:tc>
        <w:tc>
          <w:tcPr>
            <w:tcW w:type="dxa" w:w="4608"/>
            <w:shd w:fill="F8FAFC"/>
            <w:tcMar>
              <w:top w:w="60" w:type="dxa"/>
              <w:bottom w:w="60" w:type="dxa"/>
              <w:left w:w="100" w:type="dxa"/>
              <w:right w:w="100" w:type="dxa"/>
            </w:tcMar>
          </w:tcPr>
          <w:p>
            <w:r>
              <w:rPr>
                <w:rFonts w:ascii="Calibri" w:hAnsi="Calibri"/>
                <w:color w:val="333333"/>
                <w:sz w:val="17"/>
              </w:rPr>
              <w:t>Instruksi tertulis rincian muatan yang menjadi input pembuatan draf B/L.</w:t>
            </w:r>
          </w:p>
        </w:tc>
      </w:tr>
    </w:tbl>
    <w:p>
      <w:pPr>
        <w:spacing w:after="60"/>
      </w:pPr>
    </w:p>
    <w:p>
      <w:pPr>
        <w:pStyle w:val="Heading1"/>
        <w:keepNext/>
        <w:spacing w:before="280" w:after="80"/>
      </w:pPr>
      <w:r>
        <w:rPr>
          <w:rFonts w:ascii="Calibri" w:hAnsi="Calibri"/>
          <w:color w:val="1E3A8A"/>
          <w:sz w:val="30"/>
        </w:rPr>
        <w:t>3. State Machine &amp; Event-Driven Milestone Tracking</w:t>
      </w:r>
    </w:p>
    <w:p>
      <w:pPr>
        <w:spacing w:before="0" w:after="60" w:line="276" w:lineRule="auto"/>
      </w:pPr>
      <w:r>
        <w:rPr>
          <w:rFonts w:ascii="Calibri" w:hAnsi="Calibri"/>
          <w:i w:val="0"/>
          <w:color w:val="333333"/>
          <w:sz w:val="20"/>
        </w:rPr>
        <w:t>Pergerakan kargo bersifat asinkron dan berlangsung selama berminggu-minggu. Backend harus mengimplementasikan Finite State Machine (FSM) yang mencegah anomali data:</w:t>
      </w:r>
    </w:p>
    <w:p>
      <w:pPr>
        <w:pStyle w:val="ListBullet"/>
        <w:spacing w:before="0" w:after="40" w:line="276" w:lineRule="auto"/>
      </w:pPr>
      <w:r>
        <w:rPr>
          <w:rFonts w:ascii="Calibri" w:hAnsi="Calibri"/>
          <w:b/>
          <w:color w:val="1E1E1E"/>
          <w:sz w:val="20"/>
        </w:rPr>
        <w:t xml:space="preserve">Alur Status Ocean FCL: </w:t>
      </w:r>
      <w:r>
        <w:rPr>
          <w:rFonts w:ascii="Calibri" w:hAnsi="Calibri"/>
          <w:color w:val="333333"/>
          <w:sz w:val="20"/>
        </w:rPr>
        <w:t>DRAFT -&gt; BOOKING_CONFIRMED -&gt; GATED_IN_ORIGIN -&gt; LOADED_ON_VESSEL -&gt; DEPARTED (POL) -&gt; IN_TRANSIT -&gt; DISCHARGED (POD) -&gt; CUSTOMS_RELEASED -&gt; DELIVERED.</w:t>
      </w:r>
    </w:p>
    <w:p>
      <w:pPr>
        <w:pStyle w:val="ListBullet"/>
        <w:spacing w:before="0" w:after="40" w:line="276" w:lineRule="auto"/>
      </w:pPr>
      <w:r>
        <w:rPr>
          <w:rFonts w:ascii="Calibri" w:hAnsi="Calibri"/>
          <w:b/>
          <w:color w:val="1E1E1E"/>
          <w:sz w:val="20"/>
        </w:rPr>
        <w:t xml:space="preserve">Idempotency Webhook: </w:t>
      </w:r>
      <w:r>
        <w:rPr>
          <w:rFonts w:ascii="Calibri" w:hAnsi="Calibri"/>
          <w:color w:val="333333"/>
          <w:sz w:val="20"/>
        </w:rPr>
        <w:t>Pencegahan duplikasi event tracking menggunakan Redis untuk memastikan webhook yang diterima dua kali tidak merusak data status kargo.</w:t>
      </w:r>
    </w:p>
    <w:p>
      <w:pPr>
        <w:pStyle w:val="Heading1"/>
        <w:keepNext/>
        <w:spacing w:before="280" w:after="80"/>
      </w:pPr>
      <w:r>
        <w:rPr>
          <w:rFonts w:ascii="Calibri" w:hAnsi="Calibri"/>
          <w:color w:val="1E3A8A"/>
          <w:sz w:val="30"/>
        </w:rPr>
        <w:t>4. Integrasi Enterprise: CargoWise eAdaptor &amp; Bea Cukai</w:t>
      </w:r>
    </w:p>
    <w:p>
      <w:pPr>
        <w:spacing w:before="0" w:after="60" w:line="276" w:lineRule="auto"/>
      </w:pPr>
      <w:r>
        <w:rPr>
          <w:rFonts w:ascii="Calibri" w:hAnsi="Calibri"/>
          <w:i w:val="0"/>
          <w:color w:val="333333"/>
          <w:sz w:val="20"/>
        </w:rPr>
        <w:t>FMS enterprise terintegrasi dengan ekosistem CargoWise (WiseTech Global) menggunakan pertukaran data XML/SOAP (UniversalShipment) serta portal Bea Cukai Indonesia (CEISA 4.0).</w:t>
      </w:r>
    </w:p>
    <w:p>
      <w:pPr>
        <w:pStyle w:val="Heading1"/>
        <w:keepNext/>
        <w:spacing w:before="280" w:after="80"/>
      </w:pPr>
      <w:r>
        <w:rPr>
          <w:rFonts w:ascii="Calibri" w:hAnsi="Calibri"/>
          <w:color w:val="1E3A8A"/>
          <w:sz w:val="30"/>
        </w:rPr>
        <w:t>5. Deep-Dive: .NET &amp; Ekosistem Microsoft untuk FMS</w:t>
      </w:r>
    </w:p>
    <w:p>
      <w:pPr>
        <w:spacing w:before="0" w:after="60" w:line="276" w:lineRule="auto"/>
      </w:pPr>
      <w:r>
        <w:rPr>
          <w:rFonts w:ascii="Calibri" w:hAnsi="Calibri"/>
          <w:i w:val="0"/>
          <w:color w:val="333333"/>
          <w:sz w:val="20"/>
        </w:rPr>
        <w:t>Sektor logistik global memilih .NET karena stabilitas type safety, integrasi native dengan ekosistem enterprise, dan performa tinggi pada .NET 8/9.</w:t>
      </w:r>
    </w:p>
    <w:p>
      <w:pPr>
        <w:pStyle w:val="ListBullet"/>
        <w:spacing w:before="0" w:after="40" w:line="276" w:lineRule="auto"/>
      </w:pPr>
      <w:r>
        <w:rPr>
          <w:rFonts w:ascii="Calibri" w:hAnsi="Calibri"/>
          <w:b/>
          <w:color w:val="1E1E1E"/>
          <w:sz w:val="20"/>
        </w:rPr>
        <w:t xml:space="preserve">Mental Model Mapping: </w:t>
      </w:r>
      <w:r>
        <w:rPr>
          <w:rFonts w:ascii="Calibri" w:hAnsi="Calibri"/>
          <w:color w:val="333333"/>
          <w:sz w:val="20"/>
        </w:rPr>
        <w:t>Goroutine/Channel di Go setara dengan async/await Task di C#. GORM setara dengan EF Core. Middleware HTTP net/http setara dengan ASP.NET Core Middleware Pipeline.</w:t>
      </w:r>
    </w:p>
    <w:p>
      <w:pPr>
        <w:pStyle w:val="ListBullet"/>
        <w:spacing w:before="0" w:after="40" w:line="276" w:lineRule="auto"/>
      </w:pPr>
      <w:r>
        <w:rPr>
          <w:rFonts w:ascii="Calibri" w:hAnsi="Calibri"/>
          <w:b/>
          <w:color w:val="1E1E1E"/>
          <w:sz w:val="20"/>
        </w:rPr>
        <w:t xml:space="preserve">Architecture Pattern: </w:t>
      </w:r>
      <w:r>
        <w:rPr>
          <w:rFonts w:ascii="Calibri" w:hAnsi="Calibri"/>
          <w:color w:val="333333"/>
          <w:sz w:val="20"/>
        </w:rPr>
        <w:t>Clean Architecture &amp; CQRS (MediatR) memisahkan Domain, Application, Infrastructure, dan API Layer secara bersih.</w:t>
      </w:r>
    </w:p>
    <w:p>
      <w:pPr>
        <w:pStyle w:val="Heading1"/>
        <w:keepNext/>
        <w:spacing w:before="280" w:after="80"/>
      </w:pPr>
      <w:r>
        <w:rPr>
          <w:rFonts w:ascii="Calibri" w:hAnsi="Calibri"/>
          <w:color w:val="1E3A8A"/>
          <w:sz w:val="30"/>
        </w:rPr>
        <w:t>6. Rancangan Praktis Mini-Project: 'MiniFMS'</w:t>
      </w:r>
    </w:p>
    <w:p>
      <w:pPr>
        <w:spacing w:before="0" w:after="60" w:line="276" w:lineRule="auto"/>
      </w:pPr>
      <w:r>
        <w:rPr>
          <w:rFonts w:ascii="Calibri" w:hAnsi="Calibri"/>
          <w:i w:val="0"/>
          <w:color w:val="333333"/>
          <w:sz w:val="20"/>
        </w:rPr>
        <w:t>Untuk menguasai teori di atas secara hands-on, buatlah mini-project backend ASP.NET Core Web API bernama MiniFMS dengan spesifikasi dan langkah pengerjaan berikut:</w:t>
      </w:r>
    </w:p>
    <w:p>
      <w:pPr>
        <w:pStyle w:val="Heading2"/>
        <w:keepNext/>
        <w:spacing w:before="200" w:after="60"/>
      </w:pPr>
      <w:r>
        <w:rPr>
          <w:rFonts w:ascii="Calibri" w:hAnsi="Calibri"/>
          <w:color w:val="334155"/>
          <w:sz w:val="25"/>
        </w:rPr>
        <w:t>A. Cakupan Fitur MiniFMS</w:t>
      </w:r>
    </w:p>
    <w:p>
      <w:pPr>
        <w:pStyle w:val="ListBullet"/>
        <w:spacing w:before="0" w:after="40" w:line="276" w:lineRule="auto"/>
      </w:pPr>
      <w:r>
        <w:rPr>
          <w:rFonts w:ascii="Calibri" w:hAnsi="Calibri"/>
          <w:b/>
          <w:color w:val="1E1E1E"/>
          <w:sz w:val="20"/>
        </w:rPr>
        <w:t xml:space="preserve">1. Shipment Management: </w:t>
      </w:r>
      <w:r>
        <w:rPr>
          <w:rFonts w:ascii="Calibri" w:hAnsi="Calibri"/>
          <w:color w:val="333333"/>
          <w:sz w:val="20"/>
        </w:rPr>
        <w:t>Create booking shipment, generate House B/L number, dan simpan ke PostgreSQL via EF Core.</w:t>
      </w:r>
    </w:p>
    <w:p>
      <w:pPr>
        <w:pStyle w:val="ListBullet"/>
        <w:spacing w:before="0" w:after="40" w:line="276" w:lineRule="auto"/>
      </w:pPr>
      <w:r>
        <w:rPr>
          <w:rFonts w:ascii="Calibri" w:hAnsi="Calibri"/>
          <w:b/>
          <w:color w:val="1E1E1E"/>
          <w:sz w:val="20"/>
        </w:rPr>
        <w:t xml:space="preserve">2. Finite State Machine: </w:t>
      </w:r>
      <w:r>
        <w:rPr>
          <w:rFonts w:ascii="Calibri" w:hAnsi="Calibri"/>
          <w:color w:val="333333"/>
          <w:sz w:val="20"/>
        </w:rPr>
        <w:t>Endpoint update status shipment dengan validasi transisi bisnis yang ketat (misal: Draft tidak boleh langsung loncat ke Delivered).</w:t>
      </w:r>
    </w:p>
    <w:p>
      <w:pPr>
        <w:pStyle w:val="ListBullet"/>
        <w:spacing w:before="0" w:after="40" w:line="276" w:lineRule="auto"/>
      </w:pPr>
      <w:r>
        <w:rPr>
          <w:rFonts w:ascii="Calibri" w:hAnsi="Calibri"/>
          <w:b/>
          <w:color w:val="1E1E1E"/>
          <w:sz w:val="20"/>
        </w:rPr>
        <w:t xml:space="preserve">3. Webhook Milestone Ingestion (Idempotent): </w:t>
      </w:r>
      <w:r>
        <w:rPr>
          <w:rFonts w:ascii="Calibri" w:hAnsi="Calibri"/>
          <w:color w:val="333333"/>
          <w:sz w:val="20"/>
        </w:rPr>
        <w:t>Endpoint POST menerima status update kontainer dengan proteksi Redis untuk mencegah duplikasi event.</w:t>
      </w:r>
    </w:p>
    <w:p>
      <w:pPr>
        <w:pStyle w:val="Heading2"/>
        <w:keepNext/>
        <w:spacing w:before="200" w:after="60"/>
      </w:pPr>
      <w:r>
        <w:rPr>
          <w:rFonts w:ascii="Calibri" w:hAnsi="Calibri"/>
          <w:color w:val="334155"/>
          <w:sz w:val="25"/>
        </w:rPr>
        <w:t>B. Step-by-Step Pembuatan MiniFMS</w:t>
      </w:r>
    </w:p>
    <w:p>
      <w:pPr>
        <w:spacing w:before="0" w:after="60" w:line="276" w:lineRule="auto"/>
      </w:pPr>
      <w:r>
        <w:rPr>
          <w:rFonts w:ascii="Calibri" w:hAnsi="Calibri"/>
          <w:i w:val="0"/>
          <w:color w:val="333333"/>
          <w:sz w:val="20"/>
        </w:rPr>
        <w:t>Ikuti urutan langkah berikut saat mulai membuat project besok:</w:t>
      </w:r>
    </w:p>
    <w:p>
      <w:pPr>
        <w:pStyle w:val="ListBullet"/>
        <w:spacing w:before="0" w:after="40" w:line="276" w:lineRule="auto"/>
      </w:pPr>
      <w:r>
        <w:rPr>
          <w:rFonts w:ascii="Calibri" w:hAnsi="Calibri"/>
          <w:b/>
          <w:color w:val="1E1E1E"/>
          <w:sz w:val="20"/>
        </w:rPr>
        <w:t xml:space="preserve">Langkah 1 (Project Setup): </w:t>
      </w:r>
      <w:r>
        <w:rPr>
          <w:rFonts w:ascii="Calibri" w:hAnsi="Calibri"/>
          <w:color w:val="333333"/>
          <w:sz w:val="20"/>
        </w:rPr>
        <w:t>Inisialisasi solution ASP.NET Core Web API .NET 8, tambahkan package EntityFrameworkCore.PostgreSQL, Dapper, dan StackExchange.Redis.</w:t>
      </w:r>
    </w:p>
    <w:p>
      <w:pPr>
        <w:pStyle w:val="ListBullet"/>
        <w:spacing w:before="0" w:after="40" w:line="276" w:lineRule="auto"/>
      </w:pPr>
      <w:r>
        <w:rPr>
          <w:rFonts w:ascii="Calibri" w:hAnsi="Calibri"/>
          <w:b/>
          <w:color w:val="1E1E1E"/>
          <w:sz w:val="20"/>
        </w:rPr>
        <w:t xml:space="preserve">Langkah 2 (Domain &amp; Database): </w:t>
      </w:r>
      <w:r>
        <w:rPr>
          <w:rFonts w:ascii="Calibri" w:hAnsi="Calibri"/>
          <w:color w:val="333333"/>
          <w:sz w:val="20"/>
        </w:rPr>
        <w:t>Buat entitas Shipment dengan property ID, BookingNumber, HouseBillOfLading, Status (enum), dan CreatedAt. Buat DbContext dan jalankan dotnet ef migrations add Initial.</w:t>
      </w:r>
    </w:p>
    <w:p>
      <w:pPr>
        <w:pStyle w:val="ListBullet"/>
        <w:spacing w:before="0" w:after="40" w:line="276" w:lineRule="auto"/>
      </w:pPr>
      <w:r>
        <w:rPr>
          <w:rFonts w:ascii="Calibri" w:hAnsi="Calibri"/>
          <w:b/>
          <w:color w:val="1E1E1E"/>
          <w:sz w:val="20"/>
        </w:rPr>
        <w:t xml:space="preserve">Langkah 3 (State Machine Logic): </w:t>
      </w:r>
      <w:r>
        <w:rPr>
          <w:rFonts w:ascii="Calibri" w:hAnsi="Calibri"/>
          <w:color w:val="333333"/>
          <w:sz w:val="20"/>
        </w:rPr>
        <w:t>Implementasikan method UpdateStatus pada entity Shipment dengan aturan switch pattern matching yang menolak transisi ilegal.</w:t>
      </w:r>
    </w:p>
    <w:p>
      <w:pPr>
        <w:pStyle w:val="ListBullet"/>
        <w:spacing w:before="0" w:after="40" w:line="276" w:lineRule="auto"/>
      </w:pPr>
      <w:r>
        <w:rPr>
          <w:rFonts w:ascii="Calibri" w:hAnsi="Calibri"/>
          <w:b/>
          <w:color w:val="1E1E1E"/>
          <w:sz w:val="20"/>
        </w:rPr>
        <w:t xml:space="preserve">Langkah 4 (API &amp; Idempotency): </w:t>
      </w:r>
      <w:r>
        <w:rPr>
          <w:rFonts w:ascii="Calibri" w:hAnsi="Calibri"/>
          <w:color w:val="333333"/>
          <w:sz w:val="20"/>
        </w:rPr>
        <w:t>Buat Controller untuk Create Shipment dan Ingest Milestone Webhook yang mengintegrasikan Redis StringSetAsync (NX) sebagai Idempotency Key.</w:t>
      </w:r>
    </w:p>
    <w:p>
      <w:pPr>
        <w:pStyle w:val="ListBullet"/>
        <w:spacing w:before="0" w:after="40" w:line="276" w:lineRule="auto"/>
      </w:pPr>
      <w:r>
        <w:rPr>
          <w:rFonts w:ascii="Calibri" w:hAnsi="Calibri"/>
          <w:b/>
          <w:color w:val="1E1E1E"/>
          <w:sz w:val="20"/>
        </w:rPr>
        <w:t xml:space="preserve">Langkah 5 (Testing): </w:t>
      </w:r>
      <w:r>
        <w:rPr>
          <w:rFonts w:ascii="Calibri" w:hAnsi="Calibri"/>
          <w:color w:val="333333"/>
          <w:sz w:val="20"/>
        </w:rPr>
        <w:t>Tulis unit test menggunakan xUnit untuk memvalidasi aturan transisi State Machine.</w:t>
      </w:r>
    </w:p>
    <w:tbl>
      <w:tblPr>
        <w:tblW w:type="auto" w:w="0"/>
        <w:jc w:val="center"/>
        <w:tblLayout w:type="fixed"/>
        <w:tblLook w:firstColumn="1" w:firstRow="1" w:lastColumn="0" w:lastRow="0" w:noHBand="0" w:noVBand="1" w:val="04A0"/>
      </w:tblPr>
      <w:tblGrid>
        <w:gridCol w:w="9792"/>
      </w:tblGrid>
      <w:tr>
        <w:tc>
          <w:tcPr>
            <w:tcW w:type="dxa" w:w="9936"/>
            <w:shd w:fill="F0F4F8"/>
            <w:tcMar>
              <w:top w:w="100" w:type="dxa"/>
              <w:bottom w:w="100" w:type="dxa"/>
              <w:left w:w="140" w:type="dxa"/>
              <w:right w:w="140" w:type="dxa"/>
            </w:tcMar>
            <w:tcBorders>
              <w:left w:val="single" w:sz="24" w:space="0" w:color="1E3A8A"/>
              <w:top w:val="none"/>
              <w:right w:val="none"/>
              <w:bottom w:val="none"/>
            </w:tcBorders>
          </w:tcPr>
          <w:p>
            <w:pPr>
              <w:spacing w:before="40" w:after="40"/>
            </w:pPr>
            <w:r>
              <w:rPr>
                <w:rFonts w:ascii="Calibri" w:hAnsi="Calibri"/>
                <w:b/>
                <w:color w:val="1E3A8A"/>
                <w:sz w:val="20"/>
              </w:rPr>
              <w:t>📌 KESIMPULAN</w:t>
              <w:br/>
            </w:r>
            <w:r>
              <w:rPr>
                <w:rFonts w:ascii="Calibri" w:hAnsi="Calibri"/>
                <w:color w:val="333333"/>
                <w:sz w:val="19"/>
              </w:rPr>
              <w:t>Mini-project MiniFMS ini merangkum seluruh esensi backend logistik enterprise dalam skala kecil. Dengan menyelesaikannya, Anda akan sangat siap menghadapi codebase produksi di OneByOne Logistical.</w:t>
            </w:r>
          </w:p>
        </w:tc>
      </w:tr>
    </w:tbl>
    <w:p>
      <w:pPr>
        <w:spacing w:after="60" w:before="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OneByOne Logistical — FMS Backend Engineering Guide &amp; Mini-Project Blueprint | Dewa Biara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