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QUALIFICATIONS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Past Performance &amp; References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p>
      <w:pPr>
        <w:spacing w:after="120" w:line="276"/>
      </w:pPr>
      <w:r>
        <w:rPr>
          <w:sz w:val="21"/>
          <w:szCs w:val="21"/>
        </w:rPr>
        <w:t xml:space="preserve">Representative engagements, organised by industry. Use these to answer relevant-experience questions, which typically carry 15–25% of an evaluation scorecard. Client names are withheld here; named references are released on request under the policy below.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Healthcare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Built a patient intake and scheduling portal for a 6-clinic regional provider, cutting no-show rates by 22% in the first year.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Modernized a HL7/FHIR integration layer connecting an EHR to three specialty systems, retiring 40,000 lines of legacy code.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Government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Delivered a public permits-and-licensing portal for a mid-size county, moving 18 paper workflows online.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Rebuilt a benefits eligibility screening tool used by 400 caseworkers, meeting Section 508 accessibility standards.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Developed a unified student services platform for a community college district serving 30,000 students.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Integrated a learning management system with an SIS and financial aid system, eliminating dual data entry.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Financial services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Built a loan-origination workflow platform for a regional credit union, reducing average decision time from days to hours.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Delivered a compliance reporting data warehouse consolidating 12 source systems.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Manufacturing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Created a plant-floor production tracking application replacing a spreadsheet-based process across 4 facilities.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Integrated an ERP with shop-floor IoT sensors for real-time OEE dashboards.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Retail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Built an omnichannel inventory and order-management platform for a 120-store specialty retailer.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Delivered a customer loyalty and promotions engine integrated with the point-of-sale system.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Nonprofit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Developed a donor and grant management system for a national nonprofit, unifying three disconnected databases.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Built a volunteer coordination and impact-reporting platform used across 60 chapters.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Reference policy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We provide at least three references from comparable engagements, matched by industry and project type, on request.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References are released only with the client's prior consent, so allow five business days when a submission requires named contacts.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Each reference is supplied with a summary of the work delivered and the outcomes achieved.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If a solicitation requires named references at submission rather than on request, raise it with the bid lead before drafting — it changes the timeline.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SOC 2 Type II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ISO/IEC 27001:2022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HIPAA-aligned engineering practices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AWS Advanced Consulting Partner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Microsoft Solutions Partner (Digital &amp; App Innovation)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This list is exhaustive. Any certification not named here is one Aventra does not hold — say so plainly in a response rather than implying equivalence.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Qualifications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2026-08-11T01:27:06.616Z</dcterms:created>
  <dcterms:modified xsi:type="dcterms:W3CDTF">2026-08-11T01:27:06.616Z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