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D51"/>
          <w:sz w:val="17"/>
          <w:szCs w:val="17"/>
        </w:rPr>
        <w:t xml:space="preserve">COMMERCIAL REFERENCE</w:t>
      </w:r>
    </w:p>
    <w:p>
      <w:pPr>
        <w:spacing w:after="80"/>
      </w:pPr>
      <w:r>
        <w:rPr>
          <w:b/>
          <w:bCs/>
          <w:color w:val="0B5D51"/>
          <w:sz w:val="44"/>
          <w:szCs w:val="44"/>
        </w:rPr>
        <w:t xml:space="preserve">Pricing &amp; Engagement Models</w:t>
      </w:r>
    </w:p>
    <w:p>
      <w:pPr>
        <w:pBdr>
          <w:bottom w:val="single" w:color="DDE3EA" w:sz="6"/>
        </w:pBdr>
        <w:spacing w:after="160" w:before="60"/>
      </w:pPr>
      <w:r>
        <w:rPr>
          <w:sz w:val="2"/>
          <w:szCs w:val="2"/>
        </w:rPr>
        <w:t xml:space="preserve"/>
      </w:r>
    </w:p>
    <w:p>
      <w:pPr>
        <w:pBdr>
          <w:left w:val="single" w:color="C9A227" w:sz="18"/>
        </w:pBdr>
        <w:shd w:fill="FDF8E8" w:val="clear"/>
        <w:spacing w:after="160" w:before="200"/>
      </w:pPr>
      <w:r>
        <w:rPr>
          <w:i/>
          <w:iCs/>
          <w:color w:val="5C4813"/>
          <w:sz w:val="16"/>
          <w:szCs w:val="16"/>
        </w:rPr>
        <w:t xml:space="preserve">Sample content. Aventra Software Group is a fictional company used for demonstration. Every organization, figure, client, and outcome in this document is invented and does not describe any real entity or engagement.</w:t>
      </w:r>
    </w:p>
    <w:p>
      <w:pPr>
        <w:spacing w:after="120" w:line="276"/>
      </w:pPr>
      <w:r>
        <w:rPr>
          <w:sz w:val="21"/>
          <w:szCs w:val="21"/>
        </w:rPr>
        <w:t xml:space="preserve">Indicative ranges for a typical full-scope engagement. A proposal quotes a fixed fee against the scope confirmed in discovery, which may sit anywhere in — or, with a reduced scope, below — these ranges.</w:t>
      </w:r>
    </w:p>
    <w:p>
      <w:pPr>
        <w:pStyle w:val="Heading1"/>
        <w:spacing w:after="120" w:before="260"/>
      </w:pPr>
      <w:r>
        <w:rPr>
          <w:b/>
          <w:bCs/>
          <w:color w:val="0B5D51"/>
          <w:sz w:val="30"/>
          <w:szCs w:val="30"/>
        </w:rPr>
        <w:t xml:space="preserve">Indicative ranges by offering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2621"/>
        <w:gridCol w:w="1123"/>
      </w:tblGrid>
      <w:tr>
        <w:trPr>
          <w:tblHeader/>
        </w:trPr>
        <w:tc>
          <w:tcPr>
            <w:tcW w:type="dxa" w:w="2808"/>
            <w:shd w:fill="EAF3F1" w:val="clear"/>
            <w:tcMar>
              <w:top w:type="dxa" w:w="80"/>
              <w:left w:type="dxa" w:w="120"/>
              <w:bottom w:type="dxa" w:w="80"/>
              <w:right w:type="dxa" w:w="120"/>
            </w:tcMar>
          </w:tcPr>
          <w:p>
            <w:r>
              <w:rPr>
                <w:b/>
                <w:bCs/>
                <w:color w:val="0B5D51"/>
                <w:sz w:val="18"/>
                <w:szCs w:val="18"/>
              </w:rPr>
              <w:t xml:space="preserve">Offering</w:t>
            </w:r>
          </w:p>
        </w:tc>
        <w:tc>
          <w:tcPr>
            <w:tcW w:type="dxa" w:w="2808"/>
            <w:shd w:fill="EAF3F1" w:val="clear"/>
            <w:tcMar>
              <w:top w:type="dxa" w:w="80"/>
              <w:left w:type="dxa" w:w="120"/>
              <w:bottom w:type="dxa" w:w="80"/>
              <w:right w:type="dxa" w:w="120"/>
            </w:tcMar>
          </w:tcPr>
          <w:p>
            <w:r>
              <w:rPr>
                <w:b/>
                <w:bCs/>
                <w:color w:val="0B5D51"/>
                <w:sz w:val="18"/>
                <w:szCs w:val="18"/>
              </w:rPr>
              <w:t xml:space="preserve">Pricing model</w:t>
            </w:r>
          </w:p>
        </w:tc>
        <w:tc>
          <w:tcPr>
            <w:tcW w:type="dxa" w:w="2621"/>
            <w:shd w:fill="EAF3F1" w:val="clear"/>
            <w:tcMar>
              <w:top w:type="dxa" w:w="80"/>
              <w:left w:type="dxa" w:w="120"/>
              <w:bottom w:type="dxa" w:w="80"/>
              <w:right w:type="dxa" w:w="120"/>
            </w:tcMar>
          </w:tcPr>
          <w:p>
            <w:r>
              <w:rPr>
                <w:b/>
                <w:bCs/>
                <w:color w:val="0B5D51"/>
                <w:sz w:val="18"/>
                <w:szCs w:val="18"/>
              </w:rPr>
              <w:t xml:space="preserve">Indicative range</w:t>
            </w:r>
          </w:p>
        </w:tc>
        <w:tc>
          <w:tcPr>
            <w:tcW w:type="dxa" w:w="1123"/>
            <w:shd w:fill="EAF3F1" w:val="clear"/>
            <w:tcMar>
              <w:top w:type="dxa" w:w="80"/>
              <w:left w:type="dxa" w:w="120"/>
              <w:bottom w:type="dxa" w:w="80"/>
              <w:right w:type="dxa" w:w="120"/>
            </w:tcMar>
          </w:tcPr>
          <w:p>
            <w:r>
              <w:rPr>
                <w:b/>
                <w:bCs/>
                <w:color w:val="0B5D51"/>
                <w:sz w:val="18"/>
                <w:szCs w:val="18"/>
              </w:rPr>
              <w:t xml:space="preserve">Months</w:t>
            </w:r>
          </w:p>
        </w:tc>
      </w:tr>
      <w:tr>
        <w:tc>
          <w:tcPr>
            <w:tcW w:type="dxa" w:w="2808"/>
            <w:tcMar>
              <w:top w:type="dxa" w:w="80"/>
              <w:left w:type="dxa" w:w="120"/>
              <w:bottom w:type="dxa" w:w="80"/>
              <w:right w:type="dxa" w:w="120"/>
            </w:tcMar>
          </w:tcPr>
          <w:p>
            <w:r>
              <w:rPr>
                <w:b w:val="false"/>
                <w:bCs w:val="false"/>
                <w:sz w:val="18"/>
                <w:szCs w:val="18"/>
              </w:rPr>
              <w:t xml:space="preserve">Custom Web Application Platform</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$220,000 – $550,000</w:t>
            </w:r>
          </w:p>
        </w:tc>
        <w:tc>
          <w:tcPr>
            <w:tcW w:type="dxa" w:w="1123"/>
            <w:tcMar>
              <w:top w:type="dxa" w:w="80"/>
              <w:left w:type="dxa" w:w="120"/>
              <w:bottom w:type="dxa" w:w="80"/>
              <w:right w:type="dxa" w:w="120"/>
            </w:tcMar>
          </w:tcPr>
          <w:p>
            <w:r>
              <w:rPr>
                <w:b w:val="false"/>
                <w:bCs w:val="false"/>
                <w:sz w:val="18"/>
                <w:szCs w:val="18"/>
              </w:rPr>
              <w:t xml:space="preserve">7</w:t>
            </w:r>
          </w:p>
        </w:tc>
      </w:tr>
      <w:tr>
        <w:tc>
          <w:tcPr>
            <w:tcW w:type="dxa" w:w="2808"/>
            <w:tcMar>
              <w:top w:type="dxa" w:w="80"/>
              <w:left w:type="dxa" w:w="120"/>
              <w:bottom w:type="dxa" w:w="80"/>
              <w:right w:type="dxa" w:w="120"/>
            </w:tcMar>
          </w:tcPr>
          <w:p>
            <w:r>
              <w:rPr>
                <w:b w:val="false"/>
                <w:bCs w:val="false"/>
                <w:sz w:val="18"/>
                <w:szCs w:val="18"/>
              </w:rPr>
              <w:t xml:space="preserve">Mobile Application Suite</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$260,000 – $600,000</w:t>
            </w:r>
          </w:p>
        </w:tc>
        <w:tc>
          <w:tcPr>
            <w:tcW w:type="dxa" w:w="1123"/>
            <w:tcMar>
              <w:top w:type="dxa" w:w="80"/>
              <w:left w:type="dxa" w:w="120"/>
              <w:bottom w:type="dxa" w:w="80"/>
              <w:right w:type="dxa" w:w="120"/>
            </w:tcMar>
          </w:tcPr>
          <w:p>
            <w:r>
              <w:rPr>
                <w:b w:val="false"/>
                <w:bCs w:val="false"/>
                <w:sz w:val="18"/>
                <w:szCs w:val="18"/>
              </w:rPr>
              <w:t xml:space="preserve">8</w:t>
            </w:r>
          </w:p>
        </w:tc>
      </w:tr>
      <w:tr>
        <w:tc>
          <w:tcPr>
            <w:tcW w:type="dxa" w:w="2808"/>
            <w:tcMar>
              <w:top w:type="dxa" w:w="80"/>
              <w:left w:type="dxa" w:w="120"/>
              <w:bottom w:type="dxa" w:w="80"/>
              <w:right w:type="dxa" w:w="120"/>
            </w:tcMar>
          </w:tcPr>
          <w:p>
            <w:r>
              <w:rPr>
                <w:b w:val="false"/>
                <w:bCs w:val="false"/>
                <w:sz w:val="18"/>
                <w:szCs w:val="18"/>
              </w:rPr>
              <w:t xml:space="preserve">Legacy Application Modernization</w:t>
            </w:r>
          </w:p>
        </w:tc>
        <w:tc>
          <w:tcPr>
            <w:tcW w:type="dxa" w:w="2808"/>
            <w:tcMar>
              <w:top w:type="dxa" w:w="80"/>
              <w:left w:type="dxa" w:w="120"/>
              <w:bottom w:type="dxa" w:w="80"/>
              <w:right w:type="dxa" w:w="120"/>
            </w:tcMar>
          </w:tcPr>
          <w:p>
            <w:r>
              <w:rPr>
                <w:b w:val="false"/>
                <w:bCs w:val="false"/>
                <w:sz w:val="18"/>
                <w:szCs w:val="18"/>
              </w:rPr>
              <w:t xml:space="preserve">Fixed price per phase, invoiced on milestones</w:t>
            </w:r>
          </w:p>
        </w:tc>
        <w:tc>
          <w:tcPr>
            <w:tcW w:type="dxa" w:w="2621"/>
            <w:tcMar>
              <w:top w:type="dxa" w:w="80"/>
              <w:left w:type="dxa" w:w="120"/>
              <w:bottom w:type="dxa" w:w="80"/>
              <w:right w:type="dxa" w:w="120"/>
            </w:tcMar>
          </w:tcPr>
          <w:p>
            <w:r>
              <w:rPr>
                <w:b w:val="false"/>
                <w:bCs w:val="false"/>
                <w:sz w:val="18"/>
                <w:szCs w:val="18"/>
              </w:rPr>
              <w:t xml:space="preserve">$400,000 – $1,200,000</w:t>
            </w:r>
          </w:p>
        </w:tc>
        <w:tc>
          <w:tcPr>
            <w:tcW w:type="dxa" w:w="1123"/>
            <w:tcMar>
              <w:top w:type="dxa" w:w="80"/>
              <w:left w:type="dxa" w:w="120"/>
              <w:bottom w:type="dxa" w:w="80"/>
              <w:right w:type="dxa" w:w="120"/>
            </w:tcMar>
          </w:tcPr>
          <w:p>
            <w:r>
              <w:rPr>
                <w:b w:val="false"/>
                <w:bCs w:val="false"/>
                <w:sz w:val="18"/>
                <w:szCs w:val="18"/>
              </w:rPr>
              <w:t xml:space="preserve">12</w:t>
            </w:r>
          </w:p>
        </w:tc>
      </w:tr>
      <w:tr>
        <w:tc>
          <w:tcPr>
            <w:tcW w:type="dxa" w:w="2808"/>
            <w:tcMar>
              <w:top w:type="dxa" w:w="80"/>
              <w:left w:type="dxa" w:w="120"/>
              <w:bottom w:type="dxa" w:w="80"/>
              <w:right w:type="dxa" w:w="120"/>
            </w:tcMar>
          </w:tcPr>
          <w:p>
            <w:r>
              <w:rPr>
                <w:b w:val="false"/>
                <w:bCs w:val="false"/>
                <w:sz w:val="18"/>
                <w:szCs w:val="18"/>
              </w:rPr>
              <w:t xml:space="preserve">Enterprise Data Warehouse</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$300,000 – $900,000</w:t>
            </w:r>
          </w:p>
        </w:tc>
        <w:tc>
          <w:tcPr>
            <w:tcW w:type="dxa" w:w="1123"/>
            <w:tcMar>
              <w:top w:type="dxa" w:w="80"/>
              <w:left w:type="dxa" w:w="120"/>
              <w:bottom w:type="dxa" w:w="80"/>
              <w:right w:type="dxa" w:w="120"/>
            </w:tcMar>
          </w:tcPr>
          <w:p>
            <w:r>
              <w:rPr>
                <w:b w:val="false"/>
                <w:bCs w:val="false"/>
                <w:sz w:val="18"/>
                <w:szCs w:val="18"/>
              </w:rPr>
              <w:t xml:space="preserve">9</w:t>
            </w:r>
          </w:p>
        </w:tc>
      </w:tr>
      <w:tr>
        <w:tc>
          <w:tcPr>
            <w:tcW w:type="dxa" w:w="2808"/>
            <w:tcMar>
              <w:top w:type="dxa" w:w="80"/>
              <w:left w:type="dxa" w:w="120"/>
              <w:bottom w:type="dxa" w:w="80"/>
              <w:right w:type="dxa" w:w="120"/>
            </w:tcMar>
          </w:tcPr>
          <w:p>
            <w:r>
              <w:rPr>
                <w:b w:val="false"/>
                <w:bCs w:val="false"/>
                <w:sz w:val="18"/>
                <w:szCs w:val="18"/>
              </w:rPr>
              <w:t xml:space="preserve">Business Intelligence &amp; Dashboards</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$150,000 – $400,000</w:t>
            </w:r>
          </w:p>
        </w:tc>
        <w:tc>
          <w:tcPr>
            <w:tcW w:type="dxa" w:w="1123"/>
            <w:tcMar>
              <w:top w:type="dxa" w:w="80"/>
              <w:left w:type="dxa" w:w="120"/>
              <w:bottom w:type="dxa" w:w="80"/>
              <w:right w:type="dxa" w:w="120"/>
            </w:tcMar>
          </w:tcPr>
          <w:p>
            <w:r>
              <w:rPr>
                <w:b w:val="false"/>
                <w:bCs w:val="false"/>
                <w:sz w:val="18"/>
                <w:szCs w:val="18"/>
              </w:rPr>
              <w:t xml:space="preserve">5</w:t>
            </w:r>
          </w:p>
        </w:tc>
      </w:tr>
      <w:tr>
        <w:tc>
          <w:tcPr>
            <w:tcW w:type="dxa" w:w="2808"/>
            <w:tcMar>
              <w:top w:type="dxa" w:w="80"/>
              <w:left w:type="dxa" w:w="120"/>
              <w:bottom w:type="dxa" w:w="80"/>
              <w:right w:type="dxa" w:w="120"/>
            </w:tcMar>
          </w:tcPr>
          <w:p>
            <w:r>
              <w:rPr>
                <w:b w:val="false"/>
                <w:bCs w:val="false"/>
                <w:sz w:val="18"/>
                <w:szCs w:val="18"/>
              </w:rPr>
              <w:t xml:space="preserve">Data Integration &amp; Pipelines</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$160,000 – $450,000</w:t>
            </w:r>
          </w:p>
        </w:tc>
        <w:tc>
          <w:tcPr>
            <w:tcW w:type="dxa" w:w="1123"/>
            <w:tcMar>
              <w:top w:type="dxa" w:w="80"/>
              <w:left w:type="dxa" w:w="120"/>
              <w:bottom w:type="dxa" w:w="80"/>
              <w:right w:type="dxa" w:w="120"/>
            </w:tcMar>
          </w:tcPr>
          <w:p>
            <w:r>
              <w:rPr>
                <w:b w:val="false"/>
                <w:bCs w:val="false"/>
                <w:sz w:val="18"/>
                <w:szCs w:val="18"/>
              </w:rPr>
              <w:t xml:space="preserve">6</w:t>
            </w:r>
          </w:p>
        </w:tc>
      </w:tr>
      <w:tr>
        <w:tc>
          <w:tcPr>
            <w:tcW w:type="dxa" w:w="2808"/>
            <w:tcMar>
              <w:top w:type="dxa" w:w="80"/>
              <w:left w:type="dxa" w:w="120"/>
              <w:bottom w:type="dxa" w:w="80"/>
              <w:right w:type="dxa" w:w="120"/>
            </w:tcMar>
          </w:tcPr>
          <w:p>
            <w:r>
              <w:rPr>
                <w:b w:val="false"/>
                <w:bCs w:val="false"/>
                <w:sz w:val="18"/>
                <w:szCs w:val="18"/>
              </w:rPr>
              <w:t xml:space="preserve">Cloud Migration</w:t>
            </w:r>
          </w:p>
        </w:tc>
        <w:tc>
          <w:tcPr>
            <w:tcW w:type="dxa" w:w="2808"/>
            <w:tcMar>
              <w:top w:type="dxa" w:w="80"/>
              <w:left w:type="dxa" w:w="120"/>
              <w:bottom w:type="dxa" w:w="80"/>
              <w:right w:type="dxa" w:w="120"/>
            </w:tcMar>
          </w:tcPr>
          <w:p>
            <w:r>
              <w:rPr>
                <w:b w:val="false"/>
                <w:bCs w:val="false"/>
                <w:sz w:val="18"/>
                <w:szCs w:val="18"/>
              </w:rPr>
              <w:t xml:space="preserve">Fixed price per phase, invoiced on milestones</w:t>
            </w:r>
          </w:p>
        </w:tc>
        <w:tc>
          <w:tcPr>
            <w:tcW w:type="dxa" w:w="2621"/>
            <w:tcMar>
              <w:top w:type="dxa" w:w="80"/>
              <w:left w:type="dxa" w:w="120"/>
              <w:bottom w:type="dxa" w:w="80"/>
              <w:right w:type="dxa" w:w="120"/>
            </w:tcMar>
          </w:tcPr>
          <w:p>
            <w:r>
              <w:rPr>
                <w:b w:val="false"/>
                <w:bCs w:val="false"/>
                <w:sz w:val="18"/>
                <w:szCs w:val="18"/>
              </w:rPr>
              <w:t xml:space="preserve">$200,000 – $700,000</w:t>
            </w:r>
          </w:p>
        </w:tc>
        <w:tc>
          <w:tcPr>
            <w:tcW w:type="dxa" w:w="1123"/>
            <w:tcMar>
              <w:top w:type="dxa" w:w="80"/>
              <w:left w:type="dxa" w:w="120"/>
              <w:bottom w:type="dxa" w:w="80"/>
              <w:right w:type="dxa" w:w="120"/>
            </w:tcMar>
          </w:tcPr>
          <w:p>
            <w:r>
              <w:rPr>
                <w:b w:val="false"/>
                <w:bCs w:val="false"/>
                <w:sz w:val="18"/>
                <w:szCs w:val="18"/>
              </w:rPr>
              <w:t xml:space="preserve">8</w:t>
            </w:r>
          </w:p>
        </w:tc>
      </w:tr>
      <w:tr>
        <w:tc>
          <w:tcPr>
            <w:tcW w:type="dxa" w:w="2808"/>
            <w:tcMar>
              <w:top w:type="dxa" w:w="80"/>
              <w:left w:type="dxa" w:w="120"/>
              <w:bottom w:type="dxa" w:w="80"/>
              <w:right w:type="dxa" w:w="120"/>
            </w:tcMar>
          </w:tcPr>
          <w:p>
            <w:r>
              <w:rPr>
                <w:b w:val="false"/>
                <w:bCs w:val="false"/>
                <w:sz w:val="18"/>
                <w:szCs w:val="18"/>
              </w:rPr>
              <w:t xml:space="preserve">DevOps &amp; Platform Automation</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$150,000 – $400,000</w:t>
            </w:r>
          </w:p>
        </w:tc>
        <w:tc>
          <w:tcPr>
            <w:tcW w:type="dxa" w:w="1123"/>
            <w:tcMar>
              <w:top w:type="dxa" w:w="80"/>
              <w:left w:type="dxa" w:w="120"/>
              <w:bottom w:type="dxa" w:w="80"/>
              <w:right w:type="dxa" w:w="120"/>
            </w:tcMar>
          </w:tcPr>
          <w:p>
            <w:r>
              <w:rPr>
                <w:b w:val="false"/>
                <w:bCs w:val="false"/>
                <w:sz w:val="18"/>
                <w:szCs w:val="18"/>
              </w:rPr>
              <w:t xml:space="preserve">5</w:t>
            </w:r>
          </w:p>
        </w:tc>
      </w:tr>
      <w:tr>
        <w:tc>
          <w:tcPr>
            <w:tcW w:type="dxa" w:w="2808"/>
            <w:tcMar>
              <w:top w:type="dxa" w:w="80"/>
              <w:left w:type="dxa" w:w="120"/>
              <w:bottom w:type="dxa" w:w="80"/>
              <w:right w:type="dxa" w:w="120"/>
            </w:tcMar>
          </w:tcPr>
          <w:p>
            <w:r>
              <w:rPr>
                <w:b w:val="false"/>
                <w:bCs w:val="false"/>
                <w:sz w:val="18"/>
                <w:szCs w:val="18"/>
              </w:rPr>
              <w:t xml:space="preserve">API Development &amp; Management</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$170,000 – $450,000</w:t>
            </w:r>
          </w:p>
        </w:tc>
        <w:tc>
          <w:tcPr>
            <w:tcW w:type="dxa" w:w="1123"/>
            <w:tcMar>
              <w:top w:type="dxa" w:w="80"/>
              <w:left w:type="dxa" w:w="120"/>
              <w:bottom w:type="dxa" w:w="80"/>
              <w:right w:type="dxa" w:w="120"/>
            </w:tcMar>
          </w:tcPr>
          <w:p>
            <w:r>
              <w:rPr>
                <w:b w:val="false"/>
                <w:bCs w:val="false"/>
                <w:sz w:val="18"/>
                <w:szCs w:val="18"/>
              </w:rPr>
              <w:t xml:space="preserve">6</w:t>
            </w:r>
          </w:p>
        </w:tc>
      </w:tr>
      <w:tr>
        <w:tc>
          <w:tcPr>
            <w:tcW w:type="dxa" w:w="2808"/>
            <w:tcMar>
              <w:top w:type="dxa" w:w="80"/>
              <w:left w:type="dxa" w:w="120"/>
              <w:bottom w:type="dxa" w:w="80"/>
              <w:right w:type="dxa" w:w="120"/>
            </w:tcMar>
          </w:tcPr>
          <w:p>
            <w:r>
              <w:rPr>
                <w:b w:val="false"/>
                <w:bCs w:val="false"/>
                <w:sz w:val="18"/>
                <w:szCs w:val="18"/>
              </w:rPr>
              <w:t xml:space="preserve">Enterprise Systems Integration</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$190,000 – $550,000</w:t>
            </w:r>
          </w:p>
        </w:tc>
        <w:tc>
          <w:tcPr>
            <w:tcW w:type="dxa" w:w="1123"/>
            <w:tcMar>
              <w:top w:type="dxa" w:w="80"/>
              <w:left w:type="dxa" w:w="120"/>
              <w:bottom w:type="dxa" w:w="80"/>
              <w:right w:type="dxa" w:w="120"/>
            </w:tcMar>
          </w:tcPr>
          <w:p>
            <w:r>
              <w:rPr>
                <w:b w:val="false"/>
                <w:bCs w:val="false"/>
                <w:sz w:val="18"/>
                <w:szCs w:val="18"/>
              </w:rPr>
              <w:t xml:space="preserve">7</w:t>
            </w:r>
          </w:p>
        </w:tc>
      </w:tr>
      <w:tr>
        <w:tc>
          <w:tcPr>
            <w:tcW w:type="dxa" w:w="2808"/>
            <w:tcMar>
              <w:top w:type="dxa" w:w="80"/>
              <w:left w:type="dxa" w:w="120"/>
              <w:bottom w:type="dxa" w:w="80"/>
              <w:right w:type="dxa" w:w="120"/>
            </w:tcMar>
          </w:tcPr>
          <w:p>
            <w:r>
              <w:rPr>
                <w:b w:val="false"/>
                <w:bCs w:val="false"/>
                <w:sz w:val="18"/>
                <w:szCs w:val="18"/>
              </w:rPr>
              <w:t xml:space="preserve">Patient Engagement Portal</w:t>
            </w:r>
          </w:p>
        </w:tc>
        <w:tc>
          <w:tcPr>
            <w:tcW w:type="dxa" w:w="2808"/>
            <w:tcMar>
              <w:top w:type="dxa" w:w="80"/>
              <w:left w:type="dxa" w:w="120"/>
              <w:bottom w:type="dxa" w:w="80"/>
              <w:right w:type="dxa" w:w="120"/>
            </w:tcMar>
          </w:tcPr>
          <w:p>
            <w:r>
              <w:rPr>
                <w:b w:val="false"/>
                <w:bCs w:val="false"/>
                <w:sz w:val="18"/>
                <w:szCs w:val="18"/>
              </w:rPr>
              <w:t xml:space="preserve">Fixed price by workstream, invoiced on milestones</w:t>
            </w:r>
          </w:p>
        </w:tc>
        <w:tc>
          <w:tcPr>
            <w:tcW w:type="dxa" w:w="2621"/>
            <w:tcMar>
              <w:top w:type="dxa" w:w="80"/>
              <w:left w:type="dxa" w:w="120"/>
              <w:bottom w:type="dxa" w:w="80"/>
              <w:right w:type="dxa" w:w="120"/>
            </w:tcMar>
          </w:tcPr>
          <w:p>
            <w:r>
              <w:rPr>
                <w:b w:val="false"/>
                <w:bCs w:val="false"/>
                <w:sz w:val="18"/>
                <w:szCs w:val="18"/>
              </w:rPr>
              <w:t xml:space="preserve">$300,000 – $800,000</w:t>
            </w:r>
          </w:p>
        </w:tc>
        <w:tc>
          <w:tcPr>
            <w:tcW w:type="dxa" w:w="1123"/>
            <w:tcMar>
              <w:top w:type="dxa" w:w="80"/>
              <w:left w:type="dxa" w:w="120"/>
              <w:bottom w:type="dxa" w:w="80"/>
              <w:right w:type="dxa" w:w="120"/>
            </w:tcMar>
          </w:tcPr>
          <w:p>
            <w:r>
              <w:rPr>
                <w:b w:val="false"/>
                <w:bCs w:val="false"/>
                <w:sz w:val="18"/>
                <w:szCs w:val="18"/>
              </w:rPr>
              <w:t xml:space="preserve">9</w:t>
            </w:r>
          </w:p>
        </w:tc>
      </w:tr>
      <w:tr>
        <w:tc>
          <w:tcPr>
            <w:tcW w:type="dxa" w:w="2808"/>
            <w:tcMar>
              <w:top w:type="dxa" w:w="80"/>
              <w:left w:type="dxa" w:w="120"/>
              <w:bottom w:type="dxa" w:w="80"/>
              <w:right w:type="dxa" w:w="120"/>
            </w:tcMar>
          </w:tcPr>
          <w:p>
            <w:r>
              <w:rPr>
                <w:b w:val="false"/>
                <w:bCs w:val="false"/>
                <w:sz w:val="18"/>
                <w:szCs w:val="18"/>
              </w:rPr>
              <w:t xml:space="preserve">Constituent Services &amp; Permitting Portal</w:t>
            </w:r>
          </w:p>
        </w:tc>
        <w:tc>
          <w:tcPr>
            <w:tcW w:type="dxa" w:w="2808"/>
            <w:tcMar>
              <w:top w:type="dxa" w:w="80"/>
              <w:left w:type="dxa" w:w="120"/>
              <w:bottom w:type="dxa" w:w="80"/>
              <w:right w:type="dxa" w:w="120"/>
            </w:tcMar>
          </w:tcPr>
          <w:p>
            <w:r>
              <w:rPr>
                <w:b w:val="false"/>
                <w:bCs w:val="false"/>
                <w:sz w:val="18"/>
                <w:szCs w:val="18"/>
              </w:rPr>
              <w:t xml:space="preserve">Fixed price per phase, invoiced on milestones</w:t>
            </w:r>
          </w:p>
        </w:tc>
        <w:tc>
          <w:tcPr>
            <w:tcW w:type="dxa" w:w="2621"/>
            <w:tcMar>
              <w:top w:type="dxa" w:w="80"/>
              <w:left w:type="dxa" w:w="120"/>
              <w:bottom w:type="dxa" w:w="80"/>
              <w:right w:type="dxa" w:w="120"/>
            </w:tcMar>
          </w:tcPr>
          <w:p>
            <w:r>
              <w:rPr>
                <w:b w:val="false"/>
                <w:bCs w:val="false"/>
                <w:sz w:val="18"/>
                <w:szCs w:val="18"/>
              </w:rPr>
              <w:t xml:space="preserve">$350,000 – $950,000</w:t>
            </w:r>
          </w:p>
        </w:tc>
        <w:tc>
          <w:tcPr>
            <w:tcW w:type="dxa" w:w="1123"/>
            <w:tcMar>
              <w:top w:type="dxa" w:w="80"/>
              <w:left w:type="dxa" w:w="120"/>
              <w:bottom w:type="dxa" w:w="80"/>
              <w:right w:type="dxa" w:w="120"/>
            </w:tcMar>
          </w:tcPr>
          <w:p>
            <w:r>
              <w:rPr>
                <w:b w:val="false"/>
                <w:bCs w:val="false"/>
                <w:sz w:val="18"/>
                <w:szCs w:val="18"/>
              </w:rPr>
              <w:t xml:space="preserve">10</w:t>
            </w:r>
          </w:p>
        </w:tc>
      </w:tr>
      <w:tr>
        <w:tc>
          <w:tcPr>
            <w:tcW w:type="dxa" w:w="2808"/>
            <w:tcMar>
              <w:top w:type="dxa" w:w="80"/>
              <w:left w:type="dxa" w:w="120"/>
              <w:bottom w:type="dxa" w:w="80"/>
              <w:right w:type="dxa" w:w="120"/>
            </w:tcMar>
          </w:tcPr>
          <w:p>
            <w:r>
              <w:rPr>
                <w:b w:val="false"/>
                <w:bCs w:val="false"/>
                <w:sz w:val="18"/>
                <w:szCs w:val="18"/>
              </w:rPr>
              <w:t xml:space="preserve">Loan Origination &amp; Member Servicing Platform</w:t>
            </w:r>
          </w:p>
        </w:tc>
        <w:tc>
          <w:tcPr>
            <w:tcW w:type="dxa" w:w="2808"/>
            <w:tcMar>
              <w:top w:type="dxa" w:w="80"/>
              <w:left w:type="dxa" w:w="120"/>
              <w:bottom w:type="dxa" w:w="80"/>
              <w:right w:type="dxa" w:w="120"/>
            </w:tcMar>
          </w:tcPr>
          <w:p>
            <w:r>
              <w:rPr>
                <w:b w:val="false"/>
                <w:bCs w:val="false"/>
                <w:sz w:val="18"/>
                <w:szCs w:val="18"/>
              </w:rPr>
              <w:t xml:space="preserve">Fixed price per phase, invoiced on milestones</w:t>
            </w:r>
          </w:p>
        </w:tc>
        <w:tc>
          <w:tcPr>
            <w:tcW w:type="dxa" w:w="2621"/>
            <w:tcMar>
              <w:top w:type="dxa" w:w="80"/>
              <w:left w:type="dxa" w:w="120"/>
              <w:bottom w:type="dxa" w:w="80"/>
              <w:right w:type="dxa" w:w="120"/>
            </w:tcMar>
          </w:tcPr>
          <w:p>
            <w:r>
              <w:rPr>
                <w:b w:val="false"/>
                <w:bCs w:val="false"/>
                <w:sz w:val="18"/>
                <w:szCs w:val="18"/>
              </w:rPr>
              <w:t xml:space="preserve">$400,000 – $1,100,000</w:t>
            </w:r>
          </w:p>
        </w:tc>
        <w:tc>
          <w:tcPr>
            <w:tcW w:type="dxa" w:w="1123"/>
            <w:tcMar>
              <w:top w:type="dxa" w:w="80"/>
              <w:left w:type="dxa" w:w="120"/>
              <w:bottom w:type="dxa" w:w="80"/>
              <w:right w:type="dxa" w:w="120"/>
            </w:tcMar>
          </w:tcPr>
          <w:p>
            <w:r>
              <w:rPr>
                <w:b w:val="false"/>
                <w:bCs w:val="false"/>
                <w:sz w:val="18"/>
                <w:szCs w:val="18"/>
              </w:rPr>
              <w:t xml:space="preserve">11</w:t>
            </w:r>
          </w:p>
        </w:tc>
      </w:tr>
      <w:tr>
        <w:tc>
          <w:tcPr>
            <w:tcW w:type="dxa" w:w="2808"/>
            <w:tcMar>
              <w:top w:type="dxa" w:w="80"/>
              <w:left w:type="dxa" w:w="120"/>
              <w:bottom w:type="dxa" w:w="80"/>
              <w:right w:type="dxa" w:w="120"/>
            </w:tcMar>
          </w:tcPr>
          <w:p>
            <w:r>
              <w:rPr>
                <w:b w:val="false"/>
                <w:bCs w:val="false"/>
                <w:sz w:val="18"/>
                <w:szCs w:val="18"/>
              </w:rPr>
              <w:t xml:space="preserve">Application Managed Services</w:t>
            </w:r>
          </w:p>
        </w:tc>
        <w:tc>
          <w:tcPr>
            <w:tcW w:type="dxa" w:w="2808"/>
            <w:tcMar>
              <w:top w:type="dxa" w:w="80"/>
              <w:left w:type="dxa" w:w="120"/>
              <w:bottom w:type="dxa" w:w="80"/>
              <w:right w:type="dxa" w:w="120"/>
            </w:tcMar>
          </w:tcPr>
          <w:p>
            <w:r>
              <w:rPr>
                <w:b w:val="false"/>
                <w:bCs w:val="false"/>
                <w:sz w:val="18"/>
                <w:szCs w:val="18"/>
              </w:rPr>
              <w:t xml:space="preserve">Monthly retainer by service tier</w:t>
            </w:r>
          </w:p>
        </w:tc>
        <w:tc>
          <w:tcPr>
            <w:tcW w:type="dxa" w:w="2621"/>
            <w:tcMar>
              <w:top w:type="dxa" w:w="80"/>
              <w:left w:type="dxa" w:w="120"/>
              <w:bottom w:type="dxa" w:w="80"/>
              <w:right w:type="dxa" w:w="120"/>
            </w:tcMar>
          </w:tcPr>
          <w:p>
            <w:r>
              <w:rPr>
                <w:b w:val="false"/>
                <w:bCs w:val="false"/>
                <w:sz w:val="18"/>
                <w:szCs w:val="18"/>
              </w:rPr>
              <w:t xml:space="preserve">$120,000 – $480,000</w:t>
            </w:r>
          </w:p>
        </w:tc>
        <w:tc>
          <w:tcPr>
            <w:tcW w:type="dxa" w:w="1123"/>
            <w:tcMar>
              <w:top w:type="dxa" w:w="80"/>
              <w:left w:type="dxa" w:w="120"/>
              <w:bottom w:type="dxa" w:w="80"/>
              <w:right w:type="dxa" w:w="120"/>
            </w:tcMar>
          </w:tcPr>
          <w:p>
            <w:r>
              <w:rPr>
                <w:b w:val="false"/>
                <w:bCs w:val="false"/>
                <w:sz w:val="18"/>
                <w:szCs w:val="18"/>
              </w:rPr>
              <w:t xml:space="preserve">12</w:t>
            </w:r>
          </w:p>
        </w:tc>
      </w:tr>
      <w:tr>
        <w:tc>
          <w:tcPr>
            <w:tcW w:type="dxa" w:w="2808"/>
            <w:tcMar>
              <w:top w:type="dxa" w:w="80"/>
              <w:left w:type="dxa" w:w="120"/>
              <w:bottom w:type="dxa" w:w="80"/>
              <w:right w:type="dxa" w:w="120"/>
            </w:tcMar>
          </w:tcPr>
          <w:p>
            <w:r>
              <w:rPr>
                <w:b w:val="false"/>
                <w:bCs w:val="false"/>
                <w:sz w:val="18"/>
                <w:szCs w:val="18"/>
              </w:rPr>
              <w:t xml:space="preserve">Security &amp; Compliance Services</w:t>
            </w:r>
          </w:p>
        </w:tc>
        <w:tc>
          <w:tcPr>
            <w:tcW w:type="dxa" w:w="2808"/>
            <w:tcMar>
              <w:top w:type="dxa" w:w="80"/>
              <w:left w:type="dxa" w:w="120"/>
              <w:bottom w:type="dxa" w:w="80"/>
              <w:right w:type="dxa" w:w="120"/>
            </w:tcMar>
          </w:tcPr>
          <w:p>
            <w:r>
              <w:rPr>
                <w:b w:val="false"/>
                <w:bCs w:val="false"/>
                <w:sz w:val="18"/>
                <w:szCs w:val="18"/>
              </w:rPr>
              <w:t xml:space="preserve">Fixed price per assessment, or retainer</w:t>
            </w:r>
          </w:p>
        </w:tc>
        <w:tc>
          <w:tcPr>
            <w:tcW w:type="dxa" w:w="2621"/>
            <w:tcMar>
              <w:top w:type="dxa" w:w="80"/>
              <w:left w:type="dxa" w:w="120"/>
              <w:bottom w:type="dxa" w:w="80"/>
              <w:right w:type="dxa" w:w="120"/>
            </w:tcMar>
          </w:tcPr>
          <w:p>
            <w:r>
              <w:rPr>
                <w:b w:val="false"/>
                <w:bCs w:val="false"/>
                <w:sz w:val="18"/>
                <w:szCs w:val="18"/>
              </w:rPr>
              <w:t xml:space="preserve">$90,000 – $350,000</w:t>
            </w:r>
          </w:p>
        </w:tc>
        <w:tc>
          <w:tcPr>
            <w:tcW w:type="dxa" w:w="1123"/>
            <w:tcMar>
              <w:top w:type="dxa" w:w="80"/>
              <w:left w:type="dxa" w:w="120"/>
              <w:bottom w:type="dxa" w:w="80"/>
              <w:right w:type="dxa" w:w="120"/>
            </w:tcMar>
          </w:tcPr>
          <w:p>
            <w:r>
              <w:rPr>
                <w:b w:val="false"/>
                <w:bCs w:val="false"/>
                <w:sz w:val="18"/>
                <w:szCs w:val="18"/>
              </w:rPr>
              <w:t xml:space="preserve">4</w:t>
            </w:r>
          </w:p>
        </w:tc>
      </w:tr>
    </w:tbl>
    <w:p>
      <w:pPr>
        <w:pStyle w:val="Heading1"/>
        <w:spacing w:after="120" w:before="260"/>
      </w:pPr>
      <w:r>
        <w:rPr>
          <w:b/>
          <w:bCs/>
          <w:color w:val="0B5D51"/>
          <w:sz w:val="30"/>
          <w:szCs w:val="30"/>
        </w:rPr>
        <w:t xml:space="preserve">How a fixed fee is built up</w:t>
      </w:r>
    </w:p>
    <w:p>
      <w:pPr>
        <w:spacing w:after="120" w:line="276"/>
      </w:pPr>
      <w:r>
        <w:rPr>
          <w:sz w:val="21"/>
          <w:szCs w:val="21"/>
        </w:rPr>
        <w:t xml:space="preserve">Standard allocation across workstreams. Adjust when the solicitation gives a reason — a data-heavy engagement carries more migration, a greenfield build carries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rPr>
          <w:tblHeader/>
        </w:trPr>
        <w:tc>
          <w:tcPr>
            <w:tcW w:type="dxa" w:w="6739"/>
            <w:shd w:fill="EAF3F1" w:val="clear"/>
            <w:tcMar>
              <w:top w:type="dxa" w:w="80"/>
              <w:left w:type="dxa" w:w="120"/>
              <w:bottom w:type="dxa" w:w="80"/>
              <w:right w:type="dxa" w:w="120"/>
            </w:tcMar>
          </w:tcPr>
          <w:p>
            <w:r>
              <w:rPr>
                <w:b/>
                <w:bCs/>
                <w:color w:val="0B5D51"/>
                <w:sz w:val="18"/>
                <w:szCs w:val="18"/>
              </w:rPr>
              <w:t xml:space="preserve">Workstream</w:t>
            </w:r>
          </w:p>
        </w:tc>
        <w:tc>
          <w:tcPr>
            <w:tcW w:type="dxa" w:w="2621"/>
            <w:shd w:fill="EAF3F1" w:val="clear"/>
            <w:tcMar>
              <w:top w:type="dxa" w:w="80"/>
              <w:left w:type="dxa" w:w="120"/>
              <w:bottom w:type="dxa" w:w="80"/>
              <w:right w:type="dxa" w:w="120"/>
            </w:tcMar>
          </w:tcPr>
          <w:p>
            <w:r>
              <w:rPr>
                <w:b/>
                <w:bCs/>
                <w:color w:val="0B5D51"/>
                <w:sz w:val="18"/>
                <w:szCs w:val="18"/>
              </w:rPr>
              <w:t xml:space="preserve">Share of fee</w:t>
            </w:r>
          </w:p>
        </w:tc>
      </w:tr>
      <w:tr>
        <w:tc>
          <w:tcPr>
            <w:tcW w:type="dxa" w:w="6739"/>
            <w:tcMar>
              <w:top w:type="dxa" w:w="80"/>
              <w:left w:type="dxa" w:w="120"/>
              <w:bottom w:type="dxa" w:w="80"/>
              <w:right w:type="dxa" w:w="120"/>
            </w:tcMar>
          </w:tcPr>
          <w:p>
            <w:r>
              <w:rPr>
                <w:b w:val="false"/>
                <w:bCs w:val="false"/>
                <w:sz w:val="18"/>
                <w:szCs w:val="18"/>
              </w:rPr>
              <w:t xml:space="preserve">Discovery &amp; solution design</w:t>
            </w:r>
          </w:p>
        </w:tc>
        <w:tc>
          <w:tcPr>
            <w:tcW w:type="dxa" w:w="2621"/>
            <w:tcMar>
              <w:top w:type="dxa" w:w="80"/>
              <w:left w:type="dxa" w:w="120"/>
              <w:bottom w:type="dxa" w:w="80"/>
              <w:right w:type="dxa" w:w="120"/>
            </w:tcMar>
          </w:tcPr>
          <w:p>
            <w:r>
              <w:rPr>
                <w:b w:val="false"/>
                <w:bCs w:val="false"/>
                <w:sz w:val="18"/>
                <w:szCs w:val="18"/>
              </w:rPr>
              <w:t xml:space="preserve">14%</w:t>
            </w:r>
          </w:p>
        </w:tc>
      </w:tr>
      <w:tr>
        <w:tc>
          <w:tcPr>
            <w:tcW w:type="dxa" w:w="6739"/>
            <w:tcMar>
              <w:top w:type="dxa" w:w="80"/>
              <w:left w:type="dxa" w:w="120"/>
              <w:bottom w:type="dxa" w:w="80"/>
              <w:right w:type="dxa" w:w="120"/>
            </w:tcMar>
          </w:tcPr>
          <w:p>
            <w:r>
              <w:rPr>
                <w:b w:val="false"/>
                <w:bCs w:val="false"/>
                <w:sz w:val="18"/>
                <w:szCs w:val="18"/>
              </w:rPr>
              <w:t xml:space="preserve">Development &amp; configuration</w:t>
            </w:r>
          </w:p>
        </w:tc>
        <w:tc>
          <w:tcPr>
            <w:tcW w:type="dxa" w:w="2621"/>
            <w:tcMar>
              <w:top w:type="dxa" w:w="80"/>
              <w:left w:type="dxa" w:w="120"/>
              <w:bottom w:type="dxa" w:w="80"/>
              <w:right w:type="dxa" w:w="120"/>
            </w:tcMar>
          </w:tcPr>
          <w:p>
            <w:r>
              <w:rPr>
                <w:b w:val="false"/>
                <w:bCs w:val="false"/>
                <w:sz w:val="18"/>
                <w:szCs w:val="18"/>
              </w:rPr>
              <w:t xml:space="preserve">42%</w:t>
            </w:r>
          </w:p>
        </w:tc>
      </w:tr>
      <w:tr>
        <w:tc>
          <w:tcPr>
            <w:tcW w:type="dxa" w:w="6739"/>
            <w:tcMar>
              <w:top w:type="dxa" w:w="80"/>
              <w:left w:type="dxa" w:w="120"/>
              <w:bottom w:type="dxa" w:w="80"/>
              <w:right w:type="dxa" w:w="120"/>
            </w:tcMar>
          </w:tcPr>
          <w:p>
            <w:r>
              <w:rPr>
                <w:b w:val="false"/>
                <w:bCs w:val="false"/>
                <w:sz w:val="18"/>
                <w:szCs w:val="18"/>
              </w:rPr>
              <w:t xml:space="preserve">Integrations</w:t>
            </w:r>
          </w:p>
        </w:tc>
        <w:tc>
          <w:tcPr>
            <w:tcW w:type="dxa" w:w="2621"/>
            <w:tcMar>
              <w:top w:type="dxa" w:w="80"/>
              <w:left w:type="dxa" w:w="120"/>
              <w:bottom w:type="dxa" w:w="80"/>
              <w:right w:type="dxa" w:w="120"/>
            </w:tcMar>
          </w:tcPr>
          <w:p>
            <w:r>
              <w:rPr>
                <w:b w:val="false"/>
                <w:bCs w:val="false"/>
                <w:sz w:val="18"/>
                <w:szCs w:val="18"/>
              </w:rPr>
              <w:t xml:space="preserve">16%</w:t>
            </w:r>
          </w:p>
        </w:tc>
      </w:tr>
      <w:tr>
        <w:tc>
          <w:tcPr>
            <w:tcW w:type="dxa" w:w="6739"/>
            <w:tcMar>
              <w:top w:type="dxa" w:w="80"/>
              <w:left w:type="dxa" w:w="120"/>
              <w:bottom w:type="dxa" w:w="80"/>
              <w:right w:type="dxa" w:w="120"/>
            </w:tcMar>
          </w:tcPr>
          <w:p>
            <w:r>
              <w:rPr>
                <w:b w:val="false"/>
                <w:bCs w:val="false"/>
                <w:sz w:val="18"/>
                <w:szCs w:val="18"/>
              </w:rPr>
              <w:t xml:space="preserve">Data migration &amp; setup</w:t>
            </w:r>
          </w:p>
        </w:tc>
        <w:tc>
          <w:tcPr>
            <w:tcW w:type="dxa" w:w="2621"/>
            <w:tcMar>
              <w:top w:type="dxa" w:w="80"/>
              <w:left w:type="dxa" w:w="120"/>
              <w:bottom w:type="dxa" w:w="80"/>
              <w:right w:type="dxa" w:w="120"/>
            </w:tcMar>
          </w:tcPr>
          <w:p>
            <w:r>
              <w:rPr>
                <w:b w:val="false"/>
                <w:bCs w:val="false"/>
                <w:sz w:val="18"/>
                <w:szCs w:val="18"/>
              </w:rPr>
              <w:t xml:space="preserve">8%</w:t>
            </w:r>
          </w:p>
        </w:tc>
      </w:tr>
      <w:tr>
        <w:tc>
          <w:tcPr>
            <w:tcW w:type="dxa" w:w="6739"/>
            <w:tcMar>
              <w:top w:type="dxa" w:w="80"/>
              <w:left w:type="dxa" w:w="120"/>
              <w:bottom w:type="dxa" w:w="80"/>
              <w:right w:type="dxa" w:w="120"/>
            </w:tcMar>
          </w:tcPr>
          <w:p>
            <w:r>
              <w:rPr>
                <w:b w:val="false"/>
                <w:bCs w:val="false"/>
                <w:sz w:val="18"/>
                <w:szCs w:val="18"/>
              </w:rPr>
              <w:t xml:space="preserve">Quality assurance &amp; security testing</w:t>
            </w:r>
          </w:p>
        </w:tc>
        <w:tc>
          <w:tcPr>
            <w:tcW w:type="dxa" w:w="2621"/>
            <w:tcMar>
              <w:top w:type="dxa" w:w="80"/>
              <w:left w:type="dxa" w:w="120"/>
              <w:bottom w:type="dxa" w:w="80"/>
              <w:right w:type="dxa" w:w="120"/>
            </w:tcMar>
          </w:tcPr>
          <w:p>
            <w:r>
              <w:rPr>
                <w:b w:val="false"/>
                <w:bCs w:val="false"/>
                <w:sz w:val="18"/>
                <w:szCs w:val="18"/>
              </w:rPr>
              <w:t xml:space="preserve">10%</w:t>
            </w:r>
          </w:p>
        </w:tc>
      </w:tr>
      <w:tr>
        <w:tc>
          <w:tcPr>
            <w:tcW w:type="dxa" w:w="6739"/>
            <w:tcMar>
              <w:top w:type="dxa" w:w="80"/>
              <w:left w:type="dxa" w:w="120"/>
              <w:bottom w:type="dxa" w:w="80"/>
              <w:right w:type="dxa" w:w="120"/>
            </w:tcMar>
          </w:tcPr>
          <w:p>
            <w:r>
              <w:rPr>
                <w:b w:val="false"/>
                <w:bCs w:val="false"/>
                <w:sz w:val="18"/>
                <w:szCs w:val="18"/>
              </w:rPr>
              <w:t xml:space="preserve">Training, documentation &amp; launch</w:t>
            </w:r>
          </w:p>
        </w:tc>
        <w:tc>
          <w:tcPr>
            <w:tcW w:type="dxa" w:w="2621"/>
            <w:tcMar>
              <w:top w:type="dxa" w:w="80"/>
              <w:left w:type="dxa" w:w="120"/>
              <w:bottom w:type="dxa" w:w="80"/>
              <w:right w:type="dxa" w:w="120"/>
            </w:tcMar>
          </w:tcPr>
          <w:p>
            <w:r>
              <w:rPr>
                <w:b w:val="false"/>
                <w:bCs w:val="false"/>
                <w:sz w:val="18"/>
                <w:szCs w:val="18"/>
              </w:rPr>
              <w:t xml:space="preserve">6%</w:t>
            </w:r>
          </w:p>
        </w:tc>
      </w:tr>
      <w:tr>
        <w:tc>
          <w:tcPr>
            <w:tcW w:type="dxa" w:w="6739"/>
            <w:tcMar>
              <w:top w:type="dxa" w:w="80"/>
              <w:left w:type="dxa" w:w="120"/>
              <w:bottom w:type="dxa" w:w="80"/>
              <w:right w:type="dxa" w:w="120"/>
            </w:tcMar>
          </w:tcPr>
          <w:p>
            <w:r>
              <w:rPr>
                <w:b w:val="false"/>
                <w:bCs w:val="false"/>
                <w:sz w:val="18"/>
                <w:szCs w:val="18"/>
              </w:rPr>
              <w:t xml:space="preserve">Project management</w:t>
            </w:r>
          </w:p>
        </w:tc>
        <w:tc>
          <w:tcPr>
            <w:tcW w:type="dxa" w:w="2621"/>
            <w:tcMar>
              <w:top w:type="dxa" w:w="80"/>
              <w:left w:type="dxa" w:w="120"/>
              <w:bottom w:type="dxa" w:w="80"/>
              <w:right w:type="dxa" w:w="120"/>
            </w:tcMar>
          </w:tcPr>
          <w:p>
            <w:r>
              <w:rPr>
                <w:b w:val="false"/>
                <w:bCs w:val="false"/>
                <w:sz w:val="18"/>
                <w:szCs w:val="18"/>
              </w:rPr>
              <w:t xml:space="preserve">4%</w:t>
            </w:r>
          </w:p>
        </w:tc>
      </w:tr>
    </w:tbl>
    <w:p>
      <w:pPr>
        <w:pStyle w:val="Heading1"/>
        <w:spacing w:after="120" w:before="260"/>
      </w:pPr>
      <w:r>
        <w:rPr>
          <w:b/>
          <w:bCs/>
          <w:color w:val="0B5D51"/>
          <w:sz w:val="30"/>
          <w:szCs w:val="30"/>
        </w:rPr>
        <w:t xml:space="preserve">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39"/>
        <w:gridCol w:w="2621"/>
      </w:tblGrid>
      <w:tr>
        <w:trPr>
          <w:tblHeader/>
        </w:trPr>
        <w:tc>
          <w:tcPr>
            <w:tcW w:type="dxa" w:w="6739"/>
            <w:shd w:fill="EAF3F1" w:val="clear"/>
            <w:tcMar>
              <w:top w:type="dxa" w:w="80"/>
              <w:left w:type="dxa" w:w="120"/>
              <w:bottom w:type="dxa" w:w="80"/>
              <w:right w:type="dxa" w:w="120"/>
            </w:tcMar>
          </w:tcPr>
          <w:p>
            <w:r>
              <w:rPr>
                <w:b/>
                <w:bCs/>
                <w:color w:val="0B5D51"/>
                <w:sz w:val="18"/>
                <w:szCs w:val="18"/>
              </w:rPr>
              <w:t xml:space="preserve">Phase</w:t>
            </w:r>
          </w:p>
        </w:tc>
        <w:tc>
          <w:tcPr>
            <w:tcW w:type="dxa" w:w="2621"/>
            <w:shd w:fill="EAF3F1" w:val="clear"/>
            <w:tcMar>
              <w:top w:type="dxa" w:w="80"/>
              <w:left w:type="dxa" w:w="120"/>
              <w:bottom w:type="dxa" w:w="80"/>
              <w:right w:type="dxa" w:w="120"/>
            </w:tcMar>
          </w:tcPr>
          <w:p>
            <w:r>
              <w:rPr>
                <w:b/>
                <w:bCs/>
                <w:color w:val="0B5D51"/>
                <w:sz w:val="18"/>
                <w:szCs w:val="18"/>
              </w:rPr>
              <w:t xml:space="preserve">Share of schedule</w:t>
            </w:r>
          </w:p>
        </w:tc>
      </w:tr>
      <w:tr>
        <w:tc>
          <w:tcPr>
            <w:tcW w:type="dxa" w:w="6739"/>
            <w:tcMar>
              <w:top w:type="dxa" w:w="80"/>
              <w:left w:type="dxa" w:w="120"/>
              <w:bottom w:type="dxa" w:w="80"/>
              <w:right w:type="dxa" w:w="120"/>
            </w:tcMar>
          </w:tcPr>
          <w:p>
            <w:r>
              <w:rPr>
                <w:b w:val="false"/>
                <w:bCs w:val="false"/>
                <w:sz w:val="18"/>
                <w:szCs w:val="18"/>
              </w:rPr>
              <w:t xml:space="preserve">Discovery &amp; Design</w:t>
            </w:r>
          </w:p>
        </w:tc>
        <w:tc>
          <w:tcPr>
            <w:tcW w:type="dxa" w:w="2621"/>
            <w:tcMar>
              <w:top w:type="dxa" w:w="80"/>
              <w:left w:type="dxa" w:w="120"/>
              <w:bottom w:type="dxa" w:w="80"/>
              <w:right w:type="dxa" w:w="120"/>
            </w:tcMar>
          </w:tcPr>
          <w:p>
            <w:r>
              <w:rPr>
                <w:b w:val="false"/>
                <w:bCs w:val="false"/>
                <w:sz w:val="18"/>
                <w:szCs w:val="18"/>
              </w:rPr>
              <w:t xml:space="preserve">20%</w:t>
            </w:r>
          </w:p>
        </w:tc>
      </w:tr>
      <w:tr>
        <w:tc>
          <w:tcPr>
            <w:tcW w:type="dxa" w:w="6739"/>
            <w:tcMar>
              <w:top w:type="dxa" w:w="80"/>
              <w:left w:type="dxa" w:w="120"/>
              <w:bottom w:type="dxa" w:w="80"/>
              <w:right w:type="dxa" w:w="120"/>
            </w:tcMar>
          </w:tcPr>
          <w:p>
            <w:r>
              <w:rPr>
                <w:b w:val="false"/>
                <w:bCs w:val="false"/>
                <w:sz w:val="18"/>
                <w:szCs w:val="18"/>
              </w:rPr>
              <w:t xml:space="preserve">Foundation &amp; Integrations</w:t>
            </w:r>
          </w:p>
        </w:tc>
        <w:tc>
          <w:tcPr>
            <w:tcW w:type="dxa" w:w="2621"/>
            <w:tcMar>
              <w:top w:type="dxa" w:w="80"/>
              <w:left w:type="dxa" w:w="120"/>
              <w:bottom w:type="dxa" w:w="80"/>
              <w:right w:type="dxa" w:w="120"/>
            </w:tcMar>
          </w:tcPr>
          <w:p>
            <w:r>
              <w:rPr>
                <w:b w:val="false"/>
                <w:bCs w:val="false"/>
                <w:sz w:val="18"/>
                <w:szCs w:val="18"/>
              </w:rPr>
              <w:t xml:space="preserve">25%</w:t>
            </w:r>
          </w:p>
        </w:tc>
      </w:tr>
      <w:tr>
        <w:tc>
          <w:tcPr>
            <w:tcW w:type="dxa" w:w="6739"/>
            <w:tcMar>
              <w:top w:type="dxa" w:w="80"/>
              <w:left w:type="dxa" w:w="120"/>
              <w:bottom w:type="dxa" w:w="80"/>
              <w:right w:type="dxa" w:w="120"/>
            </w:tcMar>
          </w:tcPr>
          <w:p>
            <w:r>
              <w:rPr>
                <w:b w:val="false"/>
                <w:bCs w:val="false"/>
                <w:sz w:val="18"/>
                <w:szCs w:val="18"/>
              </w:rPr>
              <w:t xml:space="preserve">Core Build</w:t>
            </w:r>
          </w:p>
        </w:tc>
        <w:tc>
          <w:tcPr>
            <w:tcW w:type="dxa" w:w="2621"/>
            <w:tcMar>
              <w:top w:type="dxa" w:w="80"/>
              <w:left w:type="dxa" w:w="120"/>
              <w:bottom w:type="dxa" w:w="80"/>
              <w:right w:type="dxa" w:w="120"/>
            </w:tcMar>
          </w:tcPr>
          <w:p>
            <w:r>
              <w:rPr>
                <w:b w:val="false"/>
                <w:bCs w:val="false"/>
                <w:sz w:val="18"/>
                <w:szCs w:val="18"/>
              </w:rPr>
              <w:t xml:space="preserve">30%</w:t>
            </w:r>
          </w:p>
        </w:tc>
      </w:tr>
      <w:tr>
        <w:tc>
          <w:tcPr>
            <w:tcW w:type="dxa" w:w="6739"/>
            <w:tcMar>
              <w:top w:type="dxa" w:w="80"/>
              <w:left w:type="dxa" w:w="120"/>
              <w:bottom w:type="dxa" w:w="80"/>
              <w:right w:type="dxa" w:w="120"/>
            </w:tcMar>
          </w:tcPr>
          <w:p>
            <w:r>
              <w:rPr>
                <w:b w:val="false"/>
                <w:bCs w:val="false"/>
                <w:sz w:val="18"/>
                <w:szCs w:val="18"/>
              </w:rPr>
              <w:t xml:space="preserve">Testing &amp; Hardening</w:t>
            </w:r>
          </w:p>
        </w:tc>
        <w:tc>
          <w:tcPr>
            <w:tcW w:type="dxa" w:w="2621"/>
            <w:tcMar>
              <w:top w:type="dxa" w:w="80"/>
              <w:left w:type="dxa" w:w="120"/>
              <w:bottom w:type="dxa" w:w="80"/>
              <w:right w:type="dxa" w:w="120"/>
            </w:tcMar>
          </w:tcPr>
          <w:p>
            <w:r>
              <w:rPr>
                <w:b w:val="false"/>
                <w:bCs w:val="false"/>
                <w:sz w:val="18"/>
                <w:szCs w:val="18"/>
              </w:rPr>
              <w:t xml:space="preserve">15%</w:t>
            </w:r>
          </w:p>
        </w:tc>
      </w:tr>
      <w:tr>
        <w:tc>
          <w:tcPr>
            <w:tcW w:type="dxa" w:w="6739"/>
            <w:tcMar>
              <w:top w:type="dxa" w:w="80"/>
              <w:left w:type="dxa" w:w="120"/>
              <w:bottom w:type="dxa" w:w="80"/>
              <w:right w:type="dxa" w:w="120"/>
            </w:tcMar>
          </w:tcPr>
          <w:p>
            <w:r>
              <w:rPr>
                <w:b w:val="false"/>
                <w:bCs w:val="false"/>
                <w:sz w:val="18"/>
                <w:szCs w:val="18"/>
              </w:rPr>
              <w:t xml:space="preserve">Launch &amp; Stabilization</w:t>
            </w:r>
          </w:p>
        </w:tc>
        <w:tc>
          <w:tcPr>
            <w:tcW w:type="dxa" w:w="2621"/>
            <w:tcMar>
              <w:top w:type="dxa" w:w="80"/>
              <w:left w:type="dxa" w:w="120"/>
              <w:bottom w:type="dxa" w:w="80"/>
              <w:right w:type="dxa" w:w="120"/>
            </w:tcMar>
          </w:tcPr>
          <w:p>
            <w:r>
              <w:rPr>
                <w:b w:val="false"/>
                <w:bCs w:val="false"/>
                <w:sz w:val="18"/>
                <w:szCs w:val="18"/>
              </w:rPr>
              <w:t xml:space="preserve">10%</w:t>
            </w:r>
          </w:p>
        </w:tc>
      </w:tr>
    </w:tbl>
    <w:p>
      <w:pPr>
        <w:spacing w:after="120" w:line="276"/>
      </w:pPr>
      <w:r>
        <w:rPr>
          <w:sz w:val="21"/>
          <w:szCs w:val="21"/>
        </w:rPr>
        <w:t xml:space="preserve">Each phase ends with a working, demonstrable increment and a stakeholder review.</w:t>
      </w:r>
    </w:p>
    <w:p>
      <w:pPr>
        <w:pStyle w:val="Heading1"/>
        <w:spacing w:after="120" w:before="260"/>
      </w:pPr>
      <w:r>
        <w:rPr>
          <w:b/>
          <w:bCs/>
          <w:color w:val="0B5D51"/>
          <w:sz w:val="30"/>
          <w:szCs w:val="30"/>
        </w:rPr>
        <w:t xml:space="preserve">Included in the fixed fee</w:t>
      </w:r>
    </w:p>
    <w:p>
      <w:pPr>
        <w:pStyle w:val="ListParagraph"/>
        <w:numPr>
          <w:ilvl w:val="0"/>
          <w:numId w:val="2"/>
        </w:numPr>
        <w:spacing w:after="60" w:line="276"/>
      </w:pPr>
      <w:r>
        <w:rPr>
          <w:sz w:val="21"/>
          <w:szCs w:val="21"/>
        </w:rPr>
        <w:t xml:space="preserve">Discovery, design, build, integration, and testing as scoped</w:t>
      </w:r>
    </w:p>
    <w:p>
      <w:pPr>
        <w:pStyle w:val="ListParagraph"/>
        <w:numPr>
          <w:ilvl w:val="0"/>
          <w:numId w:val="2"/>
        </w:numPr>
        <w:spacing w:after="60" w:line="276"/>
      </w:pPr>
      <w:r>
        <w:rPr>
          <w:sz w:val="21"/>
          <w:szCs w:val="21"/>
        </w:rPr>
        <w:t xml:space="preserve">Data migration where identified in scope</w:t>
      </w:r>
    </w:p>
    <w:p>
      <w:pPr>
        <w:pStyle w:val="ListParagraph"/>
        <w:numPr>
          <w:ilvl w:val="0"/>
          <w:numId w:val="2"/>
        </w:numPr>
        <w:spacing w:after="60" w:line="276"/>
      </w:pPr>
      <w:r>
        <w:rPr>
          <w:sz w:val="21"/>
          <w:szCs w:val="21"/>
        </w:rPr>
        <w:t xml:space="preserve">Accessibility and security review each sprint</w:t>
      </w:r>
    </w:p>
    <w:p>
      <w:pPr>
        <w:pStyle w:val="ListParagraph"/>
        <w:numPr>
          <w:ilvl w:val="0"/>
          <w:numId w:val="2"/>
        </w:numPr>
        <w:spacing w:after="60" w:line="276"/>
      </w:pPr>
      <w:r>
        <w:rPr>
          <w:sz w:val="21"/>
          <w:szCs w:val="21"/>
        </w:rPr>
        <w:t xml:space="preserve">Role-based training, written and video documentation, knowledge transfer</w:t>
      </w:r>
    </w:p>
    <w:p>
      <w:pPr>
        <w:pStyle w:val="ListParagraph"/>
        <w:numPr>
          <w:ilvl w:val="0"/>
          <w:numId w:val="2"/>
        </w:numPr>
        <w:spacing w:after="60" w:line="276"/>
      </w:pPr>
      <w:r>
        <w:rPr>
          <w:sz w:val="21"/>
          <w:szCs w:val="21"/>
        </w:rPr>
        <w:t xml:space="preserve">Handover of source code, infrastructure-as-code, and documentation in full</w:t>
      </w:r>
    </w:p>
    <w:p>
      <w:pPr>
        <w:pStyle w:val="Heading1"/>
        <w:spacing w:after="120" w:before="260"/>
      </w:pPr>
      <w:r>
        <w:rPr>
          <w:b/>
          <w:bCs/>
          <w:color w:val="0B5D51"/>
          <w:sz w:val="30"/>
          <w:szCs w:val="30"/>
        </w:rPr>
        <w:t xml:space="preserve">Excluded, and quoted separately</w:t>
      </w:r>
    </w:p>
    <w:p>
      <w:pPr>
        <w:pStyle w:val="ListParagraph"/>
        <w:numPr>
          <w:ilvl w:val="0"/>
          <w:numId w:val="2"/>
        </w:numPr>
        <w:spacing w:after="60" w:line="276"/>
      </w:pPr>
      <w:r>
        <w:rPr>
          <w:sz w:val="21"/>
          <w:szCs w:val="21"/>
        </w:rPr>
        <w:t xml:space="preserve">Third-party software licences and subscriptions, passed through without markup</w:t>
      </w:r>
    </w:p>
    <w:p>
      <w:pPr>
        <w:pStyle w:val="ListParagraph"/>
        <w:numPr>
          <w:ilvl w:val="0"/>
          <w:numId w:val="2"/>
        </w:numPr>
        <w:spacing w:after="60" w:line="276"/>
      </w:pPr>
      <w:r>
        <w:rPr>
          <w:sz w:val="21"/>
          <w:szCs w:val="21"/>
        </w:rPr>
        <w:t xml:space="preserve">Ongoing cloud hosting and run costs</w:t>
      </w:r>
    </w:p>
    <w:p>
      <w:pPr>
        <w:pStyle w:val="ListParagraph"/>
        <w:numPr>
          <w:ilvl w:val="0"/>
          <w:numId w:val="2"/>
        </w:numPr>
        <w:spacing w:after="60" w:line="276"/>
      </w:pPr>
      <w:r>
        <w:rPr>
          <w:sz w:val="21"/>
          <w:szCs w:val="21"/>
        </w:rPr>
        <w:t xml:space="preserve">Hardware and end-user devices</w:t>
      </w:r>
    </w:p>
    <w:p>
      <w:pPr>
        <w:pStyle w:val="ListParagraph"/>
        <w:numPr>
          <w:ilvl w:val="0"/>
          <w:numId w:val="2"/>
        </w:numPr>
        <w:spacing w:after="60" w:line="276"/>
      </w:pPr>
      <w:r>
        <w:rPr>
          <w:sz w:val="21"/>
          <w:szCs w:val="21"/>
        </w:rPr>
        <w:t xml:space="preserve">Post-launch care plan — optional, renewable, quoted as a separate annual figure</w:t>
      </w:r>
    </w:p>
    <w:p>
      <w:pPr>
        <w:pStyle w:val="ListParagraph"/>
        <w:numPr>
          <w:ilvl w:val="0"/>
          <w:numId w:val="2"/>
        </w:numPr>
        <w:spacing w:after="60" w:line="276"/>
      </w:pPr>
      <w:r>
        <w:rPr>
          <w:sz w:val="21"/>
          <w:szCs w:val="21"/>
        </w:rPr>
        <w:t xml:space="preserve">Scope added after discovery, handled through change control</w:t>
      </w:r>
    </w:p>
    <w:p>
      <w:pPr>
        <w:pStyle w:val="Heading1"/>
        <w:spacing w:after="120" w:before="260"/>
      </w:pPr>
      <w:r>
        <w:rPr>
          <w:b/>
          <w:bCs/>
          <w:color w:val="0B5D51"/>
          <w:sz w:val="30"/>
          <w:szCs w:val="30"/>
        </w:rPr>
        <w:t xml:space="preserve">When a buyer's budget sits below the range</w:t>
      </w:r>
    </w:p>
    <w:p>
      <w:pPr>
        <w:spacing w:after="120" w:line="276"/>
      </w:pPr>
      <w:r>
        <w:rPr>
          <w:b/>
          <w:bCs/>
          <w:sz w:val="21"/>
          <w:szCs w:val="21"/>
        </w:rPr>
        <w:t xml:space="preserve">Do not compress full scope to fit a number. Propose a reduced or phased scope at a price that is genuinely deliverable, state plainly which functionality is deferred, and price the later phase indicatively so the buyer can see the whole path. Underbidding to win is how engagements fail.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5"/>
        <w:szCs w:val="15"/>
      </w:rPr>
      <w:t xml:space="preserve">Internal reference document · fictional sample content · page </w:t>
    </w:r>
    <w:r>
      <w:rPr>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6"/>
      </w:pBdr>
      <w:spacing w:after="120"/>
      <w:jc w:val="right"/>
    </w:pPr>
    <w:r>
      <w:rPr>
        <w:color w:val="4A5568"/>
        <w:sz w:val="16"/>
        <w:szCs w:val="16"/>
      </w:rPr>
      <w:t xml:space="preserve">Aventra Software Group · Commercial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2026-08-11T01:27:06.622Z</dcterms:created>
  <dcterms:modified xsi:type="dcterms:W3CDTF">2026-08-11T01:27:06.622Z</dcterms:modified>
</cp:coreProperties>
</file>

<file path=docProps/custom.xml><?xml version="1.0" encoding="utf-8"?>
<Properties xmlns="http://schemas.openxmlformats.org/officeDocument/2006/custom-properties" xmlns:vt="http://schemas.openxmlformats.org/officeDocument/2006/docPropsVTypes"/>
</file>