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0B5D51"/>
          <w:sz w:val="17"/>
          <w:szCs w:val="17"/>
        </w:rPr>
        <w:t xml:space="preserve">OFFERING DATASHEET</w:t>
      </w:r>
    </w:p>
    <w:p>
      <w:pPr>
        <w:spacing w:after="80"/>
      </w:pPr>
      <w:r>
        <w:rPr>
          <w:b/>
          <w:bCs/>
          <w:color w:val="0B5D51"/>
          <w:sz w:val="44"/>
          <w:szCs w:val="44"/>
        </w:rPr>
        <w:t xml:space="preserve">Data Integration &amp; Pipelines</w:t>
      </w:r>
    </w:p>
    <w:p>
      <w:pPr>
        <w:pBdr>
          <w:bottom w:val="single" w:color="DDE3EA" w:sz="6"/>
        </w:pBdr>
        <w:spacing w:after="160" w:before="60"/>
      </w:pPr>
      <w:r>
        <w:rPr>
          <w:sz w:val="2"/>
          <w:szCs w:val="2"/>
        </w:rPr>
        <w:t xml:space="preserve"/>
      </w:r>
    </w:p>
    <w:p>
      <w:pPr>
        <w:spacing w:after="120" w:line="276"/>
      </w:pPr>
      <w:r>
        <w:rPr>
          <w:i/>
          <w:iCs/>
          <w:color w:val="4A5568"/>
          <w:sz w:val="24"/>
          <w:szCs w:val="24"/>
        </w:rPr>
        <w:t xml:space="preserve">Move data reliably between the systems that need it.</w:t>
      </w:r>
    </w:p>
    <w:p>
      <w:pPr>
        <w:pBdr>
          <w:left w:val="single" w:color="C9A227" w:sz="18"/>
        </w:pBdr>
        <w:shd w:fill="FDF8E8" w:val="clear"/>
        <w:spacing w:after="160" w:before="200"/>
      </w:pPr>
      <w:r>
        <w:rPr>
          <w:i/>
          <w:iCs/>
          <w:color w:val="5C4813"/>
          <w:sz w:val="16"/>
          <w:szCs w:val="16"/>
        </w:rPr>
        <w:t xml:space="preserve">Sample content. Aventra Software Group is a fictional company used for demonstration. Every organization, figure, client, and outcome in this document is invented and does not describe any real entity or engagement.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95"/>
        <w:gridCol w:w="6365"/>
      </w:tblGrid>
      <w:tr>
        <w:tc>
          <w:tcPr>
            <w:tcW w:type="dxa" w:w="2995"/>
            <w:shd w:fill="F4F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4A5568"/>
                <w:sz w:val="19"/>
                <w:szCs w:val="19"/>
              </w:rPr>
              <w:t xml:space="preserve">Offering ID</w:t>
            </w:r>
          </w:p>
        </w:tc>
        <w:tc>
          <w:tcPr>
            <w:tcW w:type="dxa" w:w="6365"/>
            <w:shd w:fill="F4F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data-integration</w:t>
            </w:r>
          </w:p>
        </w:tc>
      </w:tr>
      <w:tr>
        <w:tc>
          <w:tcPr>
            <w:tcW w:type="dxa" w:w="299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4A5568"/>
                <w:sz w:val="19"/>
                <w:szCs w:val="19"/>
              </w:rPr>
              <w:t xml:space="preserve">Product line</w:t>
            </w:r>
          </w:p>
        </w:tc>
        <w:tc>
          <w:tcPr>
            <w:tcW w:type="dxa" w:w="636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Data &amp; Analytics</w:t>
            </w:r>
          </w:p>
        </w:tc>
      </w:tr>
      <w:tr>
        <w:tc>
          <w:tcPr>
            <w:tcW w:type="dxa" w:w="2995"/>
            <w:shd w:fill="F4F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4A5568"/>
                <w:sz w:val="19"/>
                <w:szCs w:val="19"/>
              </w:rPr>
              <w:t xml:space="preserve">Best fit for</w:t>
            </w:r>
          </w:p>
        </w:tc>
        <w:tc>
          <w:tcPr>
            <w:tcW w:type="dxa" w:w="6365"/>
            <w:shd w:fill="F4F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healthcare, financial services, manufacturing, retail, education, government</w:t>
            </w:r>
          </w:p>
        </w:tc>
      </w:tr>
      <w:tr>
        <w:tc>
          <w:tcPr>
            <w:tcW w:type="dxa" w:w="299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4A5568"/>
                <w:sz w:val="19"/>
                <w:szCs w:val="19"/>
              </w:rPr>
              <w:t xml:space="preserve">Compliance frameworks</w:t>
            </w:r>
          </w:p>
        </w:tc>
        <w:tc>
          <w:tcPr>
            <w:tcW w:type="dxa" w:w="636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SOC 2, data-governance and retention policies</w:t>
            </w:r>
          </w:p>
        </w:tc>
      </w:tr>
      <w:tr>
        <w:tc>
          <w:tcPr>
            <w:tcW w:type="dxa" w:w="2995"/>
            <w:shd w:fill="F4F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4A5568"/>
                <w:sz w:val="19"/>
                <w:szCs w:val="19"/>
              </w:rPr>
              <w:t xml:space="preserve">Pricing model</w:t>
            </w:r>
          </w:p>
        </w:tc>
        <w:tc>
          <w:tcPr>
            <w:tcW w:type="dxa" w:w="6365"/>
            <w:shd w:fill="F4F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Fixed price by workstream, invoiced on milestones</w:t>
            </w:r>
          </w:p>
        </w:tc>
      </w:tr>
      <w:tr>
        <w:tc>
          <w:tcPr>
            <w:tcW w:type="dxa" w:w="299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4A5568"/>
                <w:sz w:val="19"/>
                <w:szCs w:val="19"/>
              </w:rPr>
              <w:t xml:space="preserve">Indicative range</w:t>
            </w:r>
          </w:p>
        </w:tc>
        <w:tc>
          <w:tcPr>
            <w:tcW w:type="dxa" w:w="636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$160,000 – $450,000</w:t>
            </w:r>
          </w:p>
        </w:tc>
      </w:tr>
      <w:tr>
        <w:tc>
          <w:tcPr>
            <w:tcW w:type="dxa" w:w="2995"/>
            <w:shd w:fill="F4F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4A5568"/>
                <w:sz w:val="19"/>
                <w:szCs w:val="19"/>
              </w:rPr>
              <w:t xml:space="preserve">Typical duration</w:t>
            </w:r>
          </w:p>
        </w:tc>
        <w:tc>
          <w:tcPr>
            <w:tcW w:type="dxa" w:w="6365"/>
            <w:shd w:fill="F4F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6 months</w:t>
            </w:r>
          </w:p>
        </w:tc>
      </w:tr>
    </w:tbl>
    <w:p>
      <w:pPr>
        <w:pStyle w:val="Heading1"/>
        <w:spacing w:after="120" w:before="260"/>
      </w:pPr>
      <w:r>
        <w:rPr>
          <w:b/>
          <w:bCs/>
          <w:color w:val="0B5D51"/>
          <w:sz w:val="30"/>
          <w:szCs w:val="30"/>
        </w:rPr>
        <w:t xml:space="preserve">Scope</w:t>
      </w:r>
    </w:p>
    <w:p>
      <w:pPr>
        <w:spacing w:after="120" w:line="276"/>
      </w:pPr>
      <w:r>
        <w:rPr>
          <w:sz w:val="21"/>
          <w:szCs w:val="21"/>
        </w:rPr>
        <w:t xml:space="preserve">Design and delivery of reliable, monitored data pipelines that move and transform data between systems, eliminating manual exports and dual entry.</w:t>
      </w:r>
    </w:p>
    <w:p>
      <w:pPr>
        <w:pStyle w:val="Heading1"/>
        <w:spacing w:after="120" w:before="260"/>
      </w:pPr>
      <w:r>
        <w:rPr>
          <w:b/>
          <w:bCs/>
          <w:color w:val="0B5D51"/>
          <w:sz w:val="30"/>
          <w:szCs w:val="30"/>
        </w:rPr>
        <w:t xml:space="preserve">Capabilities delivered</w:t>
      </w:r>
    </w:p>
    <w:p>
      <w:pPr>
        <w:spacing w:after="120" w:line="276"/>
      </w:pPr>
      <w:r>
        <w:rPr>
          <w:i/>
          <w:iCs/>
          <w:color w:val="4A5568"/>
          <w:sz w:val="18"/>
          <w:szCs w:val="18"/>
        </w:rPr>
        <w:t xml:space="preserve">Describe these in the proposed-solution section of a response.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1"/>
          <w:szCs w:val="21"/>
        </w:rPr>
        <w:t xml:space="preserve">Automated extract, transform, and load (ETL/ELT) pipelines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1"/>
          <w:szCs w:val="21"/>
        </w:rPr>
        <w:t xml:space="preserve">Scheduled and event-driven data movement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1"/>
          <w:szCs w:val="21"/>
        </w:rPr>
        <w:t xml:space="preserve">Data validation and reconciliation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1"/>
          <w:szCs w:val="21"/>
        </w:rPr>
        <w:t xml:space="preserve">Error handling, retries, and alerting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1"/>
          <w:szCs w:val="21"/>
        </w:rPr>
        <w:t xml:space="preserve">Data lineage and processing audit trail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1"/>
          <w:szCs w:val="21"/>
        </w:rPr>
        <w:t xml:space="preserve">Secure handling of sensitive fields</w:t>
      </w:r>
    </w:p>
    <w:p>
      <w:pPr>
        <w:pStyle w:val="Heading1"/>
        <w:spacing w:after="120" w:before="260"/>
      </w:pPr>
      <w:r>
        <w:rPr>
          <w:b/>
          <w:bCs/>
          <w:color w:val="0B5D51"/>
          <w:sz w:val="30"/>
          <w:szCs w:val="30"/>
        </w:rPr>
        <w:t xml:space="preserve">Requirements this offering answers</w:t>
      </w:r>
    </w:p>
    <w:p>
      <w:pPr>
        <w:spacing w:after="120" w:line="276"/>
      </w:pPr>
      <w:r>
        <w:rPr>
          <w:i/>
          <w:iCs/>
          <w:color w:val="4A5568"/>
          <w:sz w:val="18"/>
          <w:szCs w:val="18"/>
        </w:rPr>
        <w:t xml:space="preserve">If an RFP asks for these, this offering is the right match.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1"/>
          <w:szCs w:val="21"/>
        </w:rPr>
        <w:t xml:space="preserve">Eliminate manual data exports and dual entry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1"/>
          <w:szCs w:val="21"/>
        </w:rPr>
        <w:t xml:space="preserve">Move data automatically between systems on a schedule or event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1"/>
          <w:szCs w:val="21"/>
        </w:rPr>
        <w:t xml:space="preserve">Validate and reconcile data in flight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1"/>
          <w:szCs w:val="21"/>
        </w:rPr>
        <w:t xml:space="preserve">Alert on failures with clear diagnostics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1"/>
          <w:szCs w:val="21"/>
        </w:rPr>
        <w:t xml:space="preserve">Maintain lineage and an audit trail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1"/>
          <w:szCs w:val="21"/>
        </w:rPr>
        <w:t xml:space="preserve">Handle sensitive fields securely</w:t>
      </w:r>
    </w:p>
    <w:p>
      <w:pPr>
        <w:pStyle w:val="Heading1"/>
        <w:spacing w:after="120" w:before="260"/>
      </w:pPr>
      <w:r>
        <w:rPr>
          <w:b/>
          <w:bCs/>
          <w:color w:val="0B5D51"/>
          <w:sz w:val="30"/>
          <w:szCs w:val="30"/>
        </w:rPr>
        <w:t xml:space="preserve">Integrations</w:t>
      </w:r>
    </w:p>
    <w:p>
      <w:pPr>
        <w:spacing w:after="120" w:line="276"/>
      </w:pPr>
      <w:r>
        <w:rPr>
          <w:i/>
          <w:iCs/>
          <w:color w:val="4A5568"/>
          <w:sz w:val="18"/>
          <w:szCs w:val="18"/>
        </w:rPr>
        <w:t xml:space="preserve">Name the buyer's actual systems when the RFP identifies them; these are the fallback.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1"/>
          <w:szCs w:val="21"/>
        </w:rPr>
        <w:t xml:space="preserve">Each source and destination system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1"/>
          <w:szCs w:val="21"/>
        </w:rPr>
        <w:t xml:space="preserve">The identity provider (SSO)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1"/>
          <w:szCs w:val="21"/>
        </w:rPr>
        <w:t xml:space="preserve">Monitoring/alerting channels</w:t>
      </w:r>
    </w:p>
    <w:p>
      <w:pPr>
        <w:pStyle w:val="Heading1"/>
        <w:spacing w:after="120" w:before="260"/>
      </w:pPr>
      <w:r>
        <w:rPr>
          <w:b/>
          <w:bCs/>
          <w:color w:val="0B5D51"/>
          <w:sz w:val="30"/>
          <w:szCs w:val="30"/>
        </w:rPr>
        <w:t xml:space="preserve">Differentiators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1"/>
          <w:szCs w:val="21"/>
        </w:rPr>
        <w:t xml:space="preserve">Reconciliation built in — you know the data arrived intact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1"/>
          <w:szCs w:val="21"/>
        </w:rPr>
        <w:t xml:space="preserve">Observable pipelines with lineage and clear failure alerts</w:t>
      </w:r>
    </w:p>
    <w:p>
      <w:pPr>
        <w:pStyle w:val="Heading1"/>
        <w:spacing w:after="120" w:before="260"/>
      </w:pPr>
      <w:r>
        <w:rPr>
          <w:b/>
          <w:bCs/>
          <w:color w:val="0B5D51"/>
          <w:sz w:val="30"/>
          <w:szCs w:val="30"/>
        </w:rPr>
        <w:t xml:space="preserve">Success measures buyers care about</w:t>
      </w:r>
    </w:p>
    <w:p>
      <w:pPr>
        <w:spacing w:after="120" w:line="276"/>
      </w:pPr>
      <w:r>
        <w:rPr>
          <w:i/>
          <w:iCs/>
          <w:color w:val="4A5568"/>
          <w:sz w:val="18"/>
          <w:szCs w:val="18"/>
        </w:rPr>
        <w:t xml:space="preserve">Mirror these in an executive summary when the RFP states similar goals.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1"/>
          <w:szCs w:val="21"/>
        </w:rPr>
        <w:t xml:space="preserve">Manual exports and dual entry eliminated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1"/>
          <w:szCs w:val="21"/>
        </w:rPr>
        <w:t xml:space="preserve">Data moved reliably with reconciliation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1"/>
          <w:szCs w:val="21"/>
        </w:rPr>
        <w:t xml:space="preserve">Failures surfaced and resolved via alerting</w:t>
      </w:r>
    </w:p>
    <w:p>
      <w:pPr>
        <w:pStyle w:val="Heading1"/>
        <w:spacing w:after="120" w:before="260"/>
      </w:pPr>
      <w:r>
        <w:rPr>
          <w:b/>
          <w:bCs/>
          <w:color w:val="0B5D51"/>
          <w:sz w:val="30"/>
          <w:szCs w:val="30"/>
        </w:rPr>
        <w:t xml:space="preserve">Approved positioning language</w:t>
      </w:r>
    </w:p>
    <w:p>
      <w:pPr>
        <w:spacing w:after="120" w:line="276"/>
      </w:pPr>
      <w:r>
        <w:rPr>
          <w:i/>
          <w:iCs/>
          <w:color w:val="4A5568"/>
          <w:sz w:val="18"/>
          <w:szCs w:val="18"/>
        </w:rPr>
        <w:t xml:space="preserve">Adapt the wording to the buyer's own terms; keep the substance intact.</w:t>
      </w:r>
    </w:p>
    <w:p>
      <w:pPr>
        <w:spacing w:after="120" w:line="276"/>
      </w:pPr>
      <w:r>
        <w:rPr>
          <w:b/>
          <w:bCs/>
          <w:sz w:val="21"/>
          <w:szCs w:val="21"/>
        </w:rPr>
        <w:t xml:space="preserve">Understanding of needs</w:t>
      </w:r>
    </w:p>
    <w:p>
      <w:pPr>
        <w:spacing w:after="120" w:line="276"/>
      </w:pPr>
      <w:r>
        <w:rPr>
          <w:sz w:val="21"/>
          <w:szCs w:val="21"/>
        </w:rPr>
        <w:t xml:space="preserve">Your teams manually export and re-key data between systems, and errors slip through unnoticed. You need automated, monitored pipelines you can trust.</w:t>
      </w:r>
    </w:p>
    <w:p>
      <w:pPr>
        <w:spacing w:after="120" w:line="276"/>
      </w:pPr>
      <w:r>
        <w:rPr>
          <w:b/>
          <w:bCs/>
          <w:sz w:val="21"/>
          <w:szCs w:val="21"/>
        </w:rPr>
        <w:t xml:space="preserve">Proposed solution</w:t>
      </w:r>
    </w:p>
    <w:p>
      <w:pPr>
        <w:spacing w:after="120" w:line="276"/>
      </w:pPr>
      <w:r>
        <w:rPr>
          <w:sz w:val="21"/>
          <w:szCs w:val="21"/>
        </w:rPr>
        <w:t xml:space="preserve">We will build automated ETL/ELT pipelines — scheduled or event-driven — that move and transform data between your systems with validation, reconciliation, lineage, and clear failure alerting, so manual exports and dual entry go away.</w:t>
      </w:r>
    </w:p>
    <w:sectPr>
      <w:headerReference w:type="default" r:id="rId7"/>
      <w:footerReference w:type="default" r:id="rId8"/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4A5568"/>
        <w:sz w:val="15"/>
        <w:szCs w:val="15"/>
      </w:rPr>
      <w:t xml:space="preserve">Internal reference document · fictional sample content · page </w:t>
    </w:r>
    <w:r>
      <w:rPr>
        <w:color w:val="4A5568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DE3EA" w:sz="6"/>
      </w:pBdr>
      <w:spacing w:after="120"/>
      <w:jc w:val="right"/>
    </w:pPr>
    <w:r>
      <w:rPr>
        <w:color w:val="4A5568"/>
        <w:sz w:val="16"/>
        <w:szCs w:val="16"/>
      </w:rPr>
      <w:t xml:space="preserve">Aventra Software Group · Offering Datasheet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2026-08-11T01:27:06.642Z</dcterms:created>
  <dcterms:modified xsi:type="dcterms:W3CDTF">2026-08-11T01:27:06.642Z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