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Legacy Application Modernization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Retire risky legacy systems without a big-bang rewrite.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legacy-modernization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Application Development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government, financial services, healthcare, manufacturing, education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phase,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$400,000 – $1,200,000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Incremental modernization of an aging, hard-to-maintain application onto a supported, cloud-native architecture with no loss of business function.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Assessment of the existing system and modernization roadmap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Incremental re-platforming (strangler-fig approach)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migration with validation and reconciliation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Preservation and improvement of existing business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Cloud-native, supportable target architecture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Parallel-run and cutover planning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Replace an unsupported or high-risk legacy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Preserve existing business rules and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Minimize disruption during transition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Migrate historical data with validation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Move to a supportable, cloud-hosted platform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Reduce ongoing maintenance cost and risk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legacy database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Downstream systems that consume legacy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Incremental strangler-fig approach avoids risky big-bang cutovers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Business rules are re-verified, not blindly copied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Legacy system retired with no loss of function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Historical data migrated and reconciled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Measurable reduction in maintenance cost and risk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are carrying an aging system that is expensive and risky to maintain, and you need to modernize it without disrupting the business or losing years of data and hard-won business rules.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modernize incrementally using a strangler-fig approach: new, cloud-native components take over function piece by piece behind a stable interface, so the old system is retired gradually and safely. Data is migrated with validation and reconciliation, and every business rule is re-verified as it moves.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2026-08-11T01:27:06.634Z</dcterms:created>
  <dcterms:modified xsi:type="dcterms:W3CDTF">2026-08-11T01:27:06.634Z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