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5D51"/>
          <w:sz w:val="17"/>
          <w:szCs w:val="17"/>
        </w:rPr>
        <w:t xml:space="preserve">PRODUCTS &amp; SERVICES</w:t>
      </w:r>
    </w:p>
    <w:p>
      <w:pPr>
        <w:spacing w:after="80"/>
      </w:pPr>
      <w:r>
        <w:rPr>
          <w:b/>
          <w:bCs/>
          <w:color w:val="0B5D51"/>
          <w:sz w:val="44"/>
          <w:szCs w:val="44"/>
        </w:rPr>
        <w:t xml:space="preserve">Service Catalog</w:t>
      </w:r>
    </w:p>
    <w:p>
      <w:pPr>
        <w:pBdr>
          <w:bottom w:val="single" w:color="DDE3EA" w:sz="6"/>
        </w:pBdr>
        <w:spacing w:after="160" w:before="60"/>
      </w:pPr>
      <w:r>
        <w:rPr>
          <w:sz w:val="2"/>
          <w:szCs w:val="2"/>
        </w:rPr>
        <w:t xml:space="preserve"/>
      </w:r>
    </w:p>
    <w:p>
      <w:pPr>
        <w:pBdr>
          <w:left w:val="single" w:color="C9A227" w:sz="18"/>
        </w:pBdr>
        <w:shd w:fill="FDF8E8" w:val="clear"/>
        <w:spacing w:after="160" w:before="200"/>
      </w:pPr>
      <w:r>
        <w:rPr>
          <w:i/>
          <w:iCs/>
          <w:color w:val="5C4813"/>
          <w:sz w:val="16"/>
          <w:szCs w:val="16"/>
        </w:rPr>
        <w:t xml:space="preserve">Sample content. Aventra Software Group is a fictional company used for demonstration. Every organization, figure, client, and outcome in this document is invented and does not describe any real entity or engagement.</w:t>
      </w:r>
    </w:p>
    <w:p>
      <w:pPr>
        <w:pStyle w:val="Heading1"/>
        <w:spacing w:after="120" w:before="260"/>
      </w:pPr>
      <w:r>
        <w:rPr>
          <w:b/>
          <w:bCs/>
          <w:color w:val="0B5D51"/>
          <w:sz w:val="30"/>
          <w:szCs w:val="30"/>
        </w:rPr>
        <w:t xml:space="preserve">About Aventra Software Group</w:t>
      </w:r>
    </w:p>
    <w:p>
      <w:pPr>
        <w:spacing w:after="120" w:line="276"/>
      </w:pPr>
      <w:r>
        <w:rPr>
          <w:sz w:val="21"/>
          <w:szCs w:val="21"/>
        </w:rPr>
        <w:t xml:space="preserve">Aventra Software Group designs, builds, and operates custom software for mid-market and enterprise organizations. Since 2009 we have delivered more than 300 engagements across healthcare, government, education, financial services, and manufacturing. We specialize in modernizing legacy systems, unifying fragmented data, and shipping user-friendly applications that teams adopt without a fight.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Founded</w:t>
            </w:r>
          </w:p>
        </w:tc>
        <w:tc>
          <w:tcPr>
            <w:tcW w:type="dxa" w:w="6365"/>
            <w:shd w:fill="F4F7F6" w:val="clear"/>
            <w:tcMar>
              <w:top w:type="dxa" w:w="80"/>
              <w:left w:type="dxa" w:w="120"/>
              <w:bottom w:type="dxa" w:w="80"/>
              <w:right w:type="dxa" w:w="120"/>
            </w:tcMar>
          </w:tcPr>
          <w:p>
            <w:r>
              <w:rPr>
                <w:sz w:val="19"/>
                <w:szCs w:val="19"/>
              </w:rPr>
              <w:t xml:space="preserve">2009</w:t>
            </w:r>
          </w:p>
        </w:tc>
      </w:tr>
      <w:tr>
        <w:tc>
          <w:tcPr>
            <w:tcW w:type="dxa" w:w="2995"/>
            <w:tcMar>
              <w:top w:type="dxa" w:w="80"/>
              <w:left w:type="dxa" w:w="120"/>
              <w:bottom w:type="dxa" w:w="80"/>
              <w:right w:type="dxa" w:w="120"/>
            </w:tcMar>
          </w:tcPr>
          <w:p>
            <w:r>
              <w:rPr>
                <w:b/>
                <w:bCs/>
                <w:color w:val="4A5568"/>
                <w:sz w:val="19"/>
                <w:szCs w:val="19"/>
              </w:rPr>
              <w:t xml:space="preserve">Headquarters</w:t>
            </w:r>
          </w:p>
        </w:tc>
        <w:tc>
          <w:tcPr>
            <w:tcW w:type="dxa" w:w="6365"/>
            <w:tcMar>
              <w:top w:type="dxa" w:w="80"/>
              <w:left w:type="dxa" w:w="120"/>
              <w:bottom w:type="dxa" w:w="80"/>
              <w:right w:type="dxa" w:w="120"/>
            </w:tcMar>
          </w:tcPr>
          <w:p>
            <w:r>
              <w:rPr>
                <w:sz w:val="19"/>
                <w:szCs w:val="19"/>
              </w:rPr>
              <w:t xml:space="preserve">Austin, Texas</w:t>
            </w:r>
          </w:p>
        </w:tc>
      </w:tr>
      <w:tr>
        <w:tc>
          <w:tcPr>
            <w:tcW w:type="dxa" w:w="2995"/>
            <w:shd w:fill="F4F7F6" w:val="clear"/>
            <w:tcMar>
              <w:top w:type="dxa" w:w="80"/>
              <w:left w:type="dxa" w:w="120"/>
              <w:bottom w:type="dxa" w:w="80"/>
              <w:right w:type="dxa" w:w="120"/>
            </w:tcMar>
          </w:tcPr>
          <w:p>
            <w:r>
              <w:rPr>
                <w:b/>
                <w:bCs/>
                <w:color w:val="4A5568"/>
                <w:sz w:val="19"/>
                <w:szCs w:val="19"/>
              </w:rPr>
              <w:t xml:space="preserve">Employees</w:t>
            </w:r>
          </w:p>
        </w:tc>
        <w:tc>
          <w:tcPr>
            <w:tcW w:type="dxa" w:w="6365"/>
            <w:shd w:fill="F4F7F6" w:val="clear"/>
            <w:tcMar>
              <w:top w:type="dxa" w:w="80"/>
              <w:left w:type="dxa" w:w="120"/>
              <w:bottom w:type="dxa" w:w="80"/>
              <w:right w:type="dxa" w:w="120"/>
            </w:tcMar>
          </w:tcPr>
          <w:p>
            <w:r>
              <w:rPr>
                <w:sz w:val="19"/>
                <w:szCs w:val="19"/>
              </w:rPr>
              <w:t xml:space="preserve">240</w:t>
            </w:r>
          </w:p>
        </w:tc>
      </w:tr>
      <w:tr>
        <w:tc>
          <w:tcPr>
            <w:tcW w:type="dxa" w:w="2995"/>
            <w:tcMar>
              <w:top w:type="dxa" w:w="80"/>
              <w:left w:type="dxa" w:w="120"/>
              <w:bottom w:type="dxa" w:w="80"/>
              <w:right w:type="dxa" w:w="120"/>
            </w:tcMar>
          </w:tcPr>
          <w:p>
            <w:r>
              <w:rPr>
                <w:b/>
                <w:bCs/>
                <w:color w:val="4A5568"/>
                <w:sz w:val="19"/>
                <w:szCs w:val="19"/>
              </w:rPr>
              <w:t xml:space="preserve">Certifications</w:t>
            </w:r>
          </w:p>
        </w:tc>
        <w:tc>
          <w:tcPr>
            <w:tcW w:type="dxa" w:w="6365"/>
            <w:tcMar>
              <w:top w:type="dxa" w:w="80"/>
              <w:left w:type="dxa" w:w="120"/>
              <w:bottom w:type="dxa" w:w="80"/>
              <w:right w:type="dxa" w:w="120"/>
            </w:tcMar>
          </w:tcPr>
          <w:p>
            <w:r>
              <w:rPr>
                <w:sz w:val="19"/>
                <w:szCs w:val="19"/>
              </w:rPr>
              <w:t xml:space="preserve">SOC 2 Type II, ISO/IEC 27001:2022, HIPAA-aligned engineering practices, AWS Advanced Consulting Partner, Microsoft Solutions Partner (Digital &amp; App Innovation)</w:t>
            </w:r>
          </w:p>
        </w:tc>
      </w:tr>
      <w:tr>
        <w:tc>
          <w:tcPr>
            <w:tcW w:type="dxa" w:w="2995"/>
            <w:shd w:fill="F4F7F6" w:val="clear"/>
            <w:tcMar>
              <w:top w:type="dxa" w:w="80"/>
              <w:left w:type="dxa" w:w="120"/>
              <w:bottom w:type="dxa" w:w="80"/>
              <w:right w:type="dxa" w:w="120"/>
            </w:tcMar>
          </w:tcPr>
          <w:p>
            <w:r>
              <w:rPr>
                <w:b/>
                <w:bCs/>
                <w:color w:val="4A5568"/>
                <w:sz w:val="19"/>
                <w:szCs w:val="19"/>
              </w:rPr>
              <w:t xml:space="preserve">Proposals contact</w:t>
            </w:r>
          </w:p>
        </w:tc>
        <w:tc>
          <w:tcPr>
            <w:tcW w:type="dxa" w:w="6365"/>
            <w:shd w:fill="F4F7F6" w:val="clear"/>
            <w:tcMar>
              <w:top w:type="dxa" w:w="80"/>
              <w:left w:type="dxa" w:w="120"/>
              <w:bottom w:type="dxa" w:w="80"/>
              <w:right w:type="dxa" w:w="120"/>
            </w:tcMar>
          </w:tcPr>
          <w:p>
            <w:r>
              <w:rPr>
                <w:sz w:val="19"/>
                <w:szCs w:val="19"/>
              </w:rPr>
              <w:t xml:space="preserve">proposals@aventrasoftware.example · (512) 555-0182</w:t>
            </w:r>
          </w:p>
        </w:tc>
      </w:tr>
    </w:tbl>
    <w:p>
      <w:pPr>
        <w:pStyle w:val="Heading2"/>
        <w:spacing w:after="120" w:before="260"/>
      </w:pPr>
      <w:r>
        <w:rPr>
          <w:b/>
          <w:bCs/>
          <w:color w:val="0B5D51"/>
          <w:sz w:val="24"/>
          <w:szCs w:val="24"/>
        </w:rPr>
        <w:t xml:space="preserve">Core capabilities</w:t>
      </w:r>
    </w:p>
    <w:p>
      <w:pPr>
        <w:pStyle w:val="ListParagraph"/>
        <w:numPr>
          <w:ilvl w:val="0"/>
          <w:numId w:val="2"/>
        </w:numPr>
        <w:spacing w:after="60" w:line="276"/>
      </w:pPr>
      <w:r>
        <w:rPr>
          <w:sz w:val="21"/>
          <w:szCs w:val="21"/>
        </w:rPr>
        <w:t xml:space="preserve">Custom web and mobile application development</w:t>
      </w:r>
    </w:p>
    <w:p>
      <w:pPr>
        <w:pStyle w:val="ListParagraph"/>
        <w:numPr>
          <w:ilvl w:val="0"/>
          <w:numId w:val="2"/>
        </w:numPr>
        <w:spacing w:after="60" w:line="276"/>
      </w:pPr>
      <w:r>
        <w:rPr>
          <w:sz w:val="21"/>
          <w:szCs w:val="21"/>
        </w:rPr>
        <w:t xml:space="preserve">Legacy system modernization and re-platforming</w:t>
      </w:r>
    </w:p>
    <w:p>
      <w:pPr>
        <w:pStyle w:val="ListParagraph"/>
        <w:numPr>
          <w:ilvl w:val="0"/>
          <w:numId w:val="2"/>
        </w:numPr>
        <w:spacing w:after="60" w:line="276"/>
      </w:pPr>
      <w:r>
        <w:rPr>
          <w:sz w:val="21"/>
          <w:szCs w:val="21"/>
        </w:rPr>
        <w:t xml:space="preserve">Cloud migration and cloud-native architecture (AWS, Azure, GCP)</w:t>
      </w:r>
    </w:p>
    <w:p>
      <w:pPr>
        <w:pStyle w:val="ListParagraph"/>
        <w:numPr>
          <w:ilvl w:val="0"/>
          <w:numId w:val="2"/>
        </w:numPr>
        <w:spacing w:after="60" w:line="276"/>
      </w:pPr>
      <w:r>
        <w:rPr>
          <w:sz w:val="21"/>
          <w:szCs w:val="21"/>
        </w:rPr>
        <w:t xml:space="preserve">Data platforms, warehousing, and analytics</w:t>
      </w:r>
    </w:p>
    <w:p>
      <w:pPr>
        <w:pStyle w:val="ListParagraph"/>
        <w:numPr>
          <w:ilvl w:val="0"/>
          <w:numId w:val="2"/>
        </w:numPr>
        <w:spacing w:after="60" w:line="276"/>
      </w:pPr>
      <w:r>
        <w:rPr>
          <w:sz w:val="21"/>
          <w:szCs w:val="21"/>
        </w:rPr>
        <w:t xml:space="preserve">Systems integration and API development</w:t>
      </w:r>
    </w:p>
    <w:p>
      <w:pPr>
        <w:pStyle w:val="ListParagraph"/>
        <w:numPr>
          <w:ilvl w:val="0"/>
          <w:numId w:val="2"/>
        </w:numPr>
        <w:spacing w:after="60" w:line="276"/>
      </w:pPr>
      <w:r>
        <w:rPr>
          <w:sz w:val="21"/>
          <w:szCs w:val="21"/>
        </w:rPr>
        <w:t xml:space="preserve">UX research and accessible interface design (WCAG 2.1 AA)</w:t>
      </w:r>
    </w:p>
    <w:p>
      <w:pPr>
        <w:pStyle w:val="ListParagraph"/>
        <w:numPr>
          <w:ilvl w:val="0"/>
          <w:numId w:val="2"/>
        </w:numPr>
        <w:spacing w:after="60" w:line="276"/>
      </w:pPr>
      <w:r>
        <w:rPr>
          <w:sz w:val="21"/>
          <w:szCs w:val="21"/>
        </w:rPr>
        <w:t xml:space="preserve">DevOps, CI/CD, and managed operations</w:t>
      </w:r>
    </w:p>
    <w:p>
      <w:pPr>
        <w:pStyle w:val="ListParagraph"/>
        <w:numPr>
          <w:ilvl w:val="0"/>
          <w:numId w:val="2"/>
        </w:numPr>
        <w:spacing w:after="60" w:line="276"/>
      </w:pPr>
      <w:r>
        <w:rPr>
          <w:sz w:val="21"/>
          <w:szCs w:val="21"/>
        </w:rPr>
        <w:t xml:space="preserve">Security engineering and compliance support</w:t>
      </w:r>
    </w:p>
    <w:p>
      <w:pPr>
        <w:pStyle w:val="Heading1"/>
        <w:spacing w:after="120" w:before="260"/>
      </w:pPr>
      <w:r>
        <w:rPr>
          <w:b/>
          <w:bCs/>
          <w:color w:val="0B5D51"/>
          <w:sz w:val="30"/>
          <w:szCs w:val="30"/>
        </w:rPr>
        <w:t xml:space="preserve">All offerings at a glance</w:t>
      </w:r>
    </w:p>
    <w:p>
      <w:pPr>
        <w:spacing w:after="120" w:line="276"/>
      </w:pPr>
      <w:r>
        <w:rPr>
          <w:i/>
          <w:iCs/>
          <w:color w:val="4A5568"/>
          <w:sz w:val="21"/>
          <w:szCs w:val="21"/>
        </w:rPr>
        <w:t xml:space="preserve">Indicative ranges describe a typical full-scope engagement. Actual pricing is fixed against the scope confirmed in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621"/>
        <w:gridCol w:w="2434"/>
        <w:gridCol w:w="1123"/>
      </w:tblGrid>
      <w:tr>
        <w:trPr>
          <w:tblHeader/>
        </w:trPr>
        <w:tc>
          <w:tcPr>
            <w:tcW w:type="dxa" w:w="3182"/>
            <w:shd w:fill="EAF3F1" w:val="clear"/>
            <w:tcMar>
              <w:top w:type="dxa" w:w="80"/>
              <w:left w:type="dxa" w:w="120"/>
              <w:bottom w:type="dxa" w:w="80"/>
              <w:right w:type="dxa" w:w="120"/>
            </w:tcMar>
          </w:tcPr>
          <w:p>
            <w:r>
              <w:rPr>
                <w:b/>
                <w:bCs/>
                <w:color w:val="0B5D51"/>
                <w:sz w:val="18"/>
                <w:szCs w:val="18"/>
              </w:rPr>
              <w:t xml:space="preserve">Offering</w:t>
            </w:r>
          </w:p>
        </w:tc>
        <w:tc>
          <w:tcPr>
            <w:tcW w:type="dxa" w:w="2621"/>
            <w:shd w:fill="EAF3F1" w:val="clear"/>
            <w:tcMar>
              <w:top w:type="dxa" w:w="80"/>
              <w:left w:type="dxa" w:w="120"/>
              <w:bottom w:type="dxa" w:w="80"/>
              <w:right w:type="dxa" w:w="120"/>
            </w:tcMar>
          </w:tcPr>
          <w:p>
            <w:r>
              <w:rPr>
                <w:b/>
                <w:bCs/>
                <w:color w:val="0B5D51"/>
                <w:sz w:val="18"/>
                <w:szCs w:val="18"/>
              </w:rPr>
              <w:t xml:space="preserve">Product line</w:t>
            </w:r>
          </w:p>
        </w:tc>
        <w:tc>
          <w:tcPr>
            <w:tcW w:type="dxa" w:w="2434"/>
            <w:shd w:fill="EAF3F1" w:val="clear"/>
            <w:tcMar>
              <w:top w:type="dxa" w:w="80"/>
              <w:left w:type="dxa" w:w="120"/>
              <w:bottom w:type="dxa" w:w="80"/>
              <w:right w:type="dxa" w:w="120"/>
            </w:tcMar>
          </w:tcPr>
          <w:p>
            <w:r>
              <w:rPr>
                <w:b/>
                <w:bCs/>
                <w:color w:val="0B5D51"/>
                <w:sz w:val="18"/>
                <w:szCs w:val="18"/>
              </w:rPr>
              <w:t xml:space="preserve">Indicative range</w:t>
            </w:r>
          </w:p>
        </w:tc>
        <w:tc>
          <w:tcPr>
            <w:tcW w:type="dxa" w:w="1123"/>
            <w:shd w:fill="EAF3F1" w:val="clear"/>
            <w:tcMar>
              <w:top w:type="dxa" w:w="80"/>
              <w:left w:type="dxa" w:w="120"/>
              <w:bottom w:type="dxa" w:w="80"/>
              <w:right w:type="dxa" w:w="120"/>
            </w:tcMar>
          </w:tcPr>
          <w:p>
            <w:r>
              <w:rPr>
                <w:b/>
                <w:bCs/>
                <w:color w:val="0B5D51"/>
                <w:sz w:val="18"/>
                <w:szCs w:val="18"/>
              </w:rPr>
              <w:t xml:space="preserve">Months</w:t>
            </w:r>
          </w:p>
        </w:tc>
      </w:tr>
      <w:tr>
        <w:tc>
          <w:tcPr>
            <w:tcW w:type="dxa" w:w="3182"/>
            <w:tcMar>
              <w:top w:type="dxa" w:w="80"/>
              <w:left w:type="dxa" w:w="120"/>
              <w:bottom w:type="dxa" w:w="80"/>
              <w:right w:type="dxa" w:w="120"/>
            </w:tcMar>
          </w:tcPr>
          <w:p>
            <w:r>
              <w:rPr>
                <w:b w:val="false"/>
                <w:bCs w:val="false"/>
                <w:sz w:val="18"/>
                <w:szCs w:val="18"/>
              </w:rPr>
              <w:t xml:space="preserve">Custom Web Application Platform</w:t>
            </w:r>
          </w:p>
        </w:tc>
        <w:tc>
          <w:tcPr>
            <w:tcW w:type="dxa" w:w="2621"/>
            <w:tcMar>
              <w:top w:type="dxa" w:w="80"/>
              <w:left w:type="dxa" w:w="120"/>
              <w:bottom w:type="dxa" w:w="80"/>
              <w:right w:type="dxa" w:w="120"/>
            </w:tcMar>
          </w:tcPr>
          <w:p>
            <w:r>
              <w:rPr>
                <w:b w:val="false"/>
                <w:bCs w:val="false"/>
                <w:sz w:val="18"/>
                <w:szCs w:val="18"/>
              </w:rPr>
              <w:t xml:space="preserve">Custom Application Development</w:t>
            </w:r>
          </w:p>
        </w:tc>
        <w:tc>
          <w:tcPr>
            <w:tcW w:type="dxa" w:w="2434"/>
            <w:tcMar>
              <w:top w:type="dxa" w:w="80"/>
              <w:left w:type="dxa" w:w="120"/>
              <w:bottom w:type="dxa" w:w="80"/>
              <w:right w:type="dxa" w:w="120"/>
            </w:tcMar>
          </w:tcPr>
          <w:p>
            <w:r>
              <w:rPr>
                <w:b w:val="false"/>
                <w:bCs w:val="false"/>
                <w:sz w:val="18"/>
                <w:szCs w:val="18"/>
              </w:rPr>
              <w:t xml:space="preserve">$220,000 – $550,000</w:t>
            </w:r>
          </w:p>
        </w:tc>
        <w:tc>
          <w:tcPr>
            <w:tcW w:type="dxa" w:w="1123"/>
            <w:tcMar>
              <w:top w:type="dxa" w:w="80"/>
              <w:left w:type="dxa" w:w="120"/>
              <w:bottom w:type="dxa" w:w="80"/>
              <w:right w:type="dxa" w:w="120"/>
            </w:tcMar>
          </w:tcPr>
          <w:p>
            <w:r>
              <w:rPr>
                <w:b w:val="false"/>
                <w:bCs w:val="false"/>
                <w:sz w:val="18"/>
                <w:szCs w:val="18"/>
              </w:rPr>
              <w:t xml:space="preserve">7</w:t>
            </w:r>
          </w:p>
        </w:tc>
      </w:tr>
      <w:tr>
        <w:tc>
          <w:tcPr>
            <w:tcW w:type="dxa" w:w="3182"/>
            <w:tcMar>
              <w:top w:type="dxa" w:w="80"/>
              <w:left w:type="dxa" w:w="120"/>
              <w:bottom w:type="dxa" w:w="80"/>
              <w:right w:type="dxa" w:w="120"/>
            </w:tcMar>
          </w:tcPr>
          <w:p>
            <w:r>
              <w:rPr>
                <w:b w:val="false"/>
                <w:bCs w:val="false"/>
                <w:sz w:val="18"/>
                <w:szCs w:val="18"/>
              </w:rPr>
              <w:t xml:space="preserve">Mobile Application Suite</w:t>
            </w:r>
          </w:p>
        </w:tc>
        <w:tc>
          <w:tcPr>
            <w:tcW w:type="dxa" w:w="2621"/>
            <w:tcMar>
              <w:top w:type="dxa" w:w="80"/>
              <w:left w:type="dxa" w:w="120"/>
              <w:bottom w:type="dxa" w:w="80"/>
              <w:right w:type="dxa" w:w="120"/>
            </w:tcMar>
          </w:tcPr>
          <w:p>
            <w:r>
              <w:rPr>
                <w:b w:val="false"/>
                <w:bCs w:val="false"/>
                <w:sz w:val="18"/>
                <w:szCs w:val="18"/>
              </w:rPr>
              <w:t xml:space="preserve">Custom Application Development</w:t>
            </w:r>
          </w:p>
        </w:tc>
        <w:tc>
          <w:tcPr>
            <w:tcW w:type="dxa" w:w="2434"/>
            <w:tcMar>
              <w:top w:type="dxa" w:w="80"/>
              <w:left w:type="dxa" w:w="120"/>
              <w:bottom w:type="dxa" w:w="80"/>
              <w:right w:type="dxa" w:w="120"/>
            </w:tcMar>
          </w:tcPr>
          <w:p>
            <w:r>
              <w:rPr>
                <w:b w:val="false"/>
                <w:bCs w:val="false"/>
                <w:sz w:val="18"/>
                <w:szCs w:val="18"/>
              </w:rPr>
              <w:t xml:space="preserve">$260,000 – $600,000</w:t>
            </w:r>
          </w:p>
        </w:tc>
        <w:tc>
          <w:tcPr>
            <w:tcW w:type="dxa" w:w="1123"/>
            <w:tcMar>
              <w:top w:type="dxa" w:w="80"/>
              <w:left w:type="dxa" w:w="120"/>
              <w:bottom w:type="dxa" w:w="80"/>
              <w:right w:type="dxa" w:w="120"/>
            </w:tcMar>
          </w:tcPr>
          <w:p>
            <w:r>
              <w:rPr>
                <w:b w:val="false"/>
                <w:bCs w:val="false"/>
                <w:sz w:val="18"/>
                <w:szCs w:val="18"/>
              </w:rPr>
              <w:t xml:space="preserve">8</w:t>
            </w:r>
          </w:p>
        </w:tc>
      </w:tr>
      <w:tr>
        <w:tc>
          <w:tcPr>
            <w:tcW w:type="dxa" w:w="3182"/>
            <w:tcMar>
              <w:top w:type="dxa" w:w="80"/>
              <w:left w:type="dxa" w:w="120"/>
              <w:bottom w:type="dxa" w:w="80"/>
              <w:right w:type="dxa" w:w="120"/>
            </w:tcMar>
          </w:tcPr>
          <w:p>
            <w:r>
              <w:rPr>
                <w:b w:val="false"/>
                <w:bCs w:val="false"/>
                <w:sz w:val="18"/>
                <w:szCs w:val="18"/>
              </w:rPr>
              <w:t xml:space="preserve">Legacy Application Modernization</w:t>
            </w:r>
          </w:p>
        </w:tc>
        <w:tc>
          <w:tcPr>
            <w:tcW w:type="dxa" w:w="2621"/>
            <w:tcMar>
              <w:top w:type="dxa" w:w="80"/>
              <w:left w:type="dxa" w:w="120"/>
              <w:bottom w:type="dxa" w:w="80"/>
              <w:right w:type="dxa" w:w="120"/>
            </w:tcMar>
          </w:tcPr>
          <w:p>
            <w:r>
              <w:rPr>
                <w:b w:val="false"/>
                <w:bCs w:val="false"/>
                <w:sz w:val="18"/>
                <w:szCs w:val="18"/>
              </w:rPr>
              <w:t xml:space="preserve">Custom Application Development</w:t>
            </w:r>
          </w:p>
        </w:tc>
        <w:tc>
          <w:tcPr>
            <w:tcW w:type="dxa" w:w="2434"/>
            <w:tcMar>
              <w:top w:type="dxa" w:w="80"/>
              <w:left w:type="dxa" w:w="120"/>
              <w:bottom w:type="dxa" w:w="80"/>
              <w:right w:type="dxa" w:w="120"/>
            </w:tcMar>
          </w:tcPr>
          <w:p>
            <w:r>
              <w:rPr>
                <w:b w:val="false"/>
                <w:bCs w:val="false"/>
                <w:sz w:val="18"/>
                <w:szCs w:val="18"/>
              </w:rPr>
              <w:t xml:space="preserve">$400,000 – $1,200,000</w:t>
            </w:r>
          </w:p>
        </w:tc>
        <w:tc>
          <w:tcPr>
            <w:tcW w:type="dxa" w:w="1123"/>
            <w:tcMar>
              <w:top w:type="dxa" w:w="80"/>
              <w:left w:type="dxa" w:w="120"/>
              <w:bottom w:type="dxa" w:w="80"/>
              <w:right w:type="dxa" w:w="120"/>
            </w:tcMar>
          </w:tcPr>
          <w:p>
            <w:r>
              <w:rPr>
                <w:b w:val="false"/>
                <w:bCs w:val="false"/>
                <w:sz w:val="18"/>
                <w:szCs w:val="18"/>
              </w:rPr>
              <w:t xml:space="preserve">12</w:t>
            </w:r>
          </w:p>
        </w:tc>
      </w:tr>
      <w:tr>
        <w:tc>
          <w:tcPr>
            <w:tcW w:type="dxa" w:w="3182"/>
            <w:tcMar>
              <w:top w:type="dxa" w:w="80"/>
              <w:left w:type="dxa" w:w="120"/>
              <w:bottom w:type="dxa" w:w="80"/>
              <w:right w:type="dxa" w:w="120"/>
            </w:tcMar>
          </w:tcPr>
          <w:p>
            <w:r>
              <w:rPr>
                <w:b w:val="false"/>
                <w:bCs w:val="false"/>
                <w:sz w:val="18"/>
                <w:szCs w:val="18"/>
              </w:rPr>
              <w:t xml:space="preserve">Enterprise Data Warehouse</w:t>
            </w:r>
          </w:p>
        </w:tc>
        <w:tc>
          <w:tcPr>
            <w:tcW w:type="dxa" w:w="2621"/>
            <w:tcMar>
              <w:top w:type="dxa" w:w="80"/>
              <w:left w:type="dxa" w:w="120"/>
              <w:bottom w:type="dxa" w:w="80"/>
              <w:right w:type="dxa" w:w="120"/>
            </w:tcMar>
          </w:tcPr>
          <w:p>
            <w:r>
              <w:rPr>
                <w:b w:val="false"/>
                <w:bCs w:val="false"/>
                <w:sz w:val="18"/>
                <w:szCs w:val="18"/>
              </w:rPr>
              <w:t xml:space="preserve">Data &amp; Analytics</w:t>
            </w:r>
          </w:p>
        </w:tc>
        <w:tc>
          <w:tcPr>
            <w:tcW w:type="dxa" w:w="2434"/>
            <w:tcMar>
              <w:top w:type="dxa" w:w="80"/>
              <w:left w:type="dxa" w:w="120"/>
              <w:bottom w:type="dxa" w:w="80"/>
              <w:right w:type="dxa" w:w="120"/>
            </w:tcMar>
          </w:tcPr>
          <w:p>
            <w:r>
              <w:rPr>
                <w:b w:val="false"/>
                <w:bCs w:val="false"/>
                <w:sz w:val="18"/>
                <w:szCs w:val="18"/>
              </w:rPr>
              <w:t xml:space="preserve">$300,000 – $900,000</w:t>
            </w:r>
          </w:p>
        </w:tc>
        <w:tc>
          <w:tcPr>
            <w:tcW w:type="dxa" w:w="1123"/>
            <w:tcMar>
              <w:top w:type="dxa" w:w="80"/>
              <w:left w:type="dxa" w:w="120"/>
              <w:bottom w:type="dxa" w:w="80"/>
              <w:right w:type="dxa" w:w="120"/>
            </w:tcMar>
          </w:tcPr>
          <w:p>
            <w:r>
              <w:rPr>
                <w:b w:val="false"/>
                <w:bCs w:val="false"/>
                <w:sz w:val="18"/>
                <w:szCs w:val="18"/>
              </w:rPr>
              <w:t xml:space="preserve">9</w:t>
            </w:r>
          </w:p>
        </w:tc>
      </w:tr>
      <w:tr>
        <w:tc>
          <w:tcPr>
            <w:tcW w:type="dxa" w:w="3182"/>
            <w:tcMar>
              <w:top w:type="dxa" w:w="80"/>
              <w:left w:type="dxa" w:w="120"/>
              <w:bottom w:type="dxa" w:w="80"/>
              <w:right w:type="dxa" w:w="120"/>
            </w:tcMar>
          </w:tcPr>
          <w:p>
            <w:r>
              <w:rPr>
                <w:b w:val="false"/>
                <w:bCs w:val="false"/>
                <w:sz w:val="18"/>
                <w:szCs w:val="18"/>
              </w:rPr>
              <w:t xml:space="preserve">Business Intelligence &amp; Dashboards</w:t>
            </w:r>
          </w:p>
        </w:tc>
        <w:tc>
          <w:tcPr>
            <w:tcW w:type="dxa" w:w="2621"/>
            <w:tcMar>
              <w:top w:type="dxa" w:w="80"/>
              <w:left w:type="dxa" w:w="120"/>
              <w:bottom w:type="dxa" w:w="80"/>
              <w:right w:type="dxa" w:w="120"/>
            </w:tcMar>
          </w:tcPr>
          <w:p>
            <w:r>
              <w:rPr>
                <w:b w:val="false"/>
                <w:bCs w:val="false"/>
                <w:sz w:val="18"/>
                <w:szCs w:val="18"/>
              </w:rPr>
              <w:t xml:space="preserve">Data &amp; Analytics</w:t>
            </w:r>
          </w:p>
        </w:tc>
        <w:tc>
          <w:tcPr>
            <w:tcW w:type="dxa" w:w="2434"/>
            <w:tcMar>
              <w:top w:type="dxa" w:w="80"/>
              <w:left w:type="dxa" w:w="120"/>
              <w:bottom w:type="dxa" w:w="80"/>
              <w:right w:type="dxa" w:w="120"/>
            </w:tcMar>
          </w:tcPr>
          <w:p>
            <w:r>
              <w:rPr>
                <w:b w:val="false"/>
                <w:bCs w:val="false"/>
                <w:sz w:val="18"/>
                <w:szCs w:val="18"/>
              </w:rPr>
              <w:t xml:space="preserve">$150,000 – $400,000</w:t>
            </w:r>
          </w:p>
        </w:tc>
        <w:tc>
          <w:tcPr>
            <w:tcW w:type="dxa" w:w="1123"/>
            <w:tcMar>
              <w:top w:type="dxa" w:w="80"/>
              <w:left w:type="dxa" w:w="120"/>
              <w:bottom w:type="dxa" w:w="80"/>
              <w:right w:type="dxa" w:w="120"/>
            </w:tcMar>
          </w:tcPr>
          <w:p>
            <w:r>
              <w:rPr>
                <w:b w:val="false"/>
                <w:bCs w:val="false"/>
                <w:sz w:val="18"/>
                <w:szCs w:val="18"/>
              </w:rPr>
              <w:t xml:space="preserve">5</w:t>
            </w:r>
          </w:p>
        </w:tc>
      </w:tr>
      <w:tr>
        <w:tc>
          <w:tcPr>
            <w:tcW w:type="dxa" w:w="3182"/>
            <w:tcMar>
              <w:top w:type="dxa" w:w="80"/>
              <w:left w:type="dxa" w:w="120"/>
              <w:bottom w:type="dxa" w:w="80"/>
              <w:right w:type="dxa" w:w="120"/>
            </w:tcMar>
          </w:tcPr>
          <w:p>
            <w:r>
              <w:rPr>
                <w:b w:val="false"/>
                <w:bCs w:val="false"/>
                <w:sz w:val="18"/>
                <w:szCs w:val="18"/>
              </w:rPr>
              <w:t xml:space="preserve">Data Integration &amp; Pipelines</w:t>
            </w:r>
          </w:p>
        </w:tc>
        <w:tc>
          <w:tcPr>
            <w:tcW w:type="dxa" w:w="2621"/>
            <w:tcMar>
              <w:top w:type="dxa" w:w="80"/>
              <w:left w:type="dxa" w:w="120"/>
              <w:bottom w:type="dxa" w:w="80"/>
              <w:right w:type="dxa" w:w="120"/>
            </w:tcMar>
          </w:tcPr>
          <w:p>
            <w:r>
              <w:rPr>
                <w:b w:val="false"/>
                <w:bCs w:val="false"/>
                <w:sz w:val="18"/>
                <w:szCs w:val="18"/>
              </w:rPr>
              <w:t xml:space="preserve">Data &amp; Analytics</w:t>
            </w:r>
          </w:p>
        </w:tc>
        <w:tc>
          <w:tcPr>
            <w:tcW w:type="dxa" w:w="2434"/>
            <w:tcMar>
              <w:top w:type="dxa" w:w="80"/>
              <w:left w:type="dxa" w:w="120"/>
              <w:bottom w:type="dxa" w:w="80"/>
              <w:right w:type="dxa" w:w="120"/>
            </w:tcMar>
          </w:tcPr>
          <w:p>
            <w:r>
              <w:rPr>
                <w:b w:val="false"/>
                <w:bCs w:val="false"/>
                <w:sz w:val="18"/>
                <w:szCs w:val="18"/>
              </w:rPr>
              <w:t xml:space="preserve">$160,000 – $450,000</w:t>
            </w:r>
          </w:p>
        </w:tc>
        <w:tc>
          <w:tcPr>
            <w:tcW w:type="dxa" w:w="1123"/>
            <w:tcMar>
              <w:top w:type="dxa" w:w="80"/>
              <w:left w:type="dxa" w:w="120"/>
              <w:bottom w:type="dxa" w:w="80"/>
              <w:right w:type="dxa" w:w="120"/>
            </w:tcMar>
          </w:tcPr>
          <w:p>
            <w:r>
              <w:rPr>
                <w:b w:val="false"/>
                <w:bCs w:val="false"/>
                <w:sz w:val="18"/>
                <w:szCs w:val="18"/>
              </w:rPr>
              <w:t xml:space="preserve">6</w:t>
            </w:r>
          </w:p>
        </w:tc>
      </w:tr>
      <w:tr>
        <w:tc>
          <w:tcPr>
            <w:tcW w:type="dxa" w:w="3182"/>
            <w:tcMar>
              <w:top w:type="dxa" w:w="80"/>
              <w:left w:type="dxa" w:w="120"/>
              <w:bottom w:type="dxa" w:w="80"/>
              <w:right w:type="dxa" w:w="120"/>
            </w:tcMar>
          </w:tcPr>
          <w:p>
            <w:r>
              <w:rPr>
                <w:b w:val="false"/>
                <w:bCs w:val="false"/>
                <w:sz w:val="18"/>
                <w:szCs w:val="18"/>
              </w:rPr>
              <w:t xml:space="preserve">Cloud Migration</w:t>
            </w:r>
          </w:p>
        </w:tc>
        <w:tc>
          <w:tcPr>
            <w:tcW w:type="dxa" w:w="2621"/>
            <w:tcMar>
              <w:top w:type="dxa" w:w="80"/>
              <w:left w:type="dxa" w:w="120"/>
              <w:bottom w:type="dxa" w:w="80"/>
              <w:right w:type="dxa" w:w="120"/>
            </w:tcMar>
          </w:tcPr>
          <w:p>
            <w:r>
              <w:rPr>
                <w:b w:val="false"/>
                <w:bCs w:val="false"/>
                <w:sz w:val="18"/>
                <w:szCs w:val="18"/>
              </w:rPr>
              <w:t xml:space="preserve">Cloud &amp; Platform Engineering</w:t>
            </w:r>
          </w:p>
        </w:tc>
        <w:tc>
          <w:tcPr>
            <w:tcW w:type="dxa" w:w="2434"/>
            <w:tcMar>
              <w:top w:type="dxa" w:w="80"/>
              <w:left w:type="dxa" w:w="120"/>
              <w:bottom w:type="dxa" w:w="80"/>
              <w:right w:type="dxa" w:w="120"/>
            </w:tcMar>
          </w:tcPr>
          <w:p>
            <w:r>
              <w:rPr>
                <w:b w:val="false"/>
                <w:bCs w:val="false"/>
                <w:sz w:val="18"/>
                <w:szCs w:val="18"/>
              </w:rPr>
              <w:t xml:space="preserve">$200,000 – $700,000</w:t>
            </w:r>
          </w:p>
        </w:tc>
        <w:tc>
          <w:tcPr>
            <w:tcW w:type="dxa" w:w="1123"/>
            <w:tcMar>
              <w:top w:type="dxa" w:w="80"/>
              <w:left w:type="dxa" w:w="120"/>
              <w:bottom w:type="dxa" w:w="80"/>
              <w:right w:type="dxa" w:w="120"/>
            </w:tcMar>
          </w:tcPr>
          <w:p>
            <w:r>
              <w:rPr>
                <w:b w:val="false"/>
                <w:bCs w:val="false"/>
                <w:sz w:val="18"/>
                <w:szCs w:val="18"/>
              </w:rPr>
              <w:t xml:space="preserve">8</w:t>
            </w:r>
          </w:p>
        </w:tc>
      </w:tr>
      <w:tr>
        <w:tc>
          <w:tcPr>
            <w:tcW w:type="dxa" w:w="3182"/>
            <w:tcMar>
              <w:top w:type="dxa" w:w="80"/>
              <w:left w:type="dxa" w:w="120"/>
              <w:bottom w:type="dxa" w:w="80"/>
              <w:right w:type="dxa" w:w="120"/>
            </w:tcMar>
          </w:tcPr>
          <w:p>
            <w:r>
              <w:rPr>
                <w:b w:val="false"/>
                <w:bCs w:val="false"/>
                <w:sz w:val="18"/>
                <w:szCs w:val="18"/>
              </w:rPr>
              <w:t xml:space="preserve">DevOps &amp; Platform Automation</w:t>
            </w:r>
          </w:p>
        </w:tc>
        <w:tc>
          <w:tcPr>
            <w:tcW w:type="dxa" w:w="2621"/>
            <w:tcMar>
              <w:top w:type="dxa" w:w="80"/>
              <w:left w:type="dxa" w:w="120"/>
              <w:bottom w:type="dxa" w:w="80"/>
              <w:right w:type="dxa" w:w="120"/>
            </w:tcMar>
          </w:tcPr>
          <w:p>
            <w:r>
              <w:rPr>
                <w:b w:val="false"/>
                <w:bCs w:val="false"/>
                <w:sz w:val="18"/>
                <w:szCs w:val="18"/>
              </w:rPr>
              <w:t xml:space="preserve">Cloud &amp; Platform Engineering</w:t>
            </w:r>
          </w:p>
        </w:tc>
        <w:tc>
          <w:tcPr>
            <w:tcW w:type="dxa" w:w="2434"/>
            <w:tcMar>
              <w:top w:type="dxa" w:w="80"/>
              <w:left w:type="dxa" w:w="120"/>
              <w:bottom w:type="dxa" w:w="80"/>
              <w:right w:type="dxa" w:w="120"/>
            </w:tcMar>
          </w:tcPr>
          <w:p>
            <w:r>
              <w:rPr>
                <w:b w:val="false"/>
                <w:bCs w:val="false"/>
                <w:sz w:val="18"/>
                <w:szCs w:val="18"/>
              </w:rPr>
              <w:t xml:space="preserve">$150,000 – $400,000</w:t>
            </w:r>
          </w:p>
        </w:tc>
        <w:tc>
          <w:tcPr>
            <w:tcW w:type="dxa" w:w="1123"/>
            <w:tcMar>
              <w:top w:type="dxa" w:w="80"/>
              <w:left w:type="dxa" w:w="120"/>
              <w:bottom w:type="dxa" w:w="80"/>
              <w:right w:type="dxa" w:w="120"/>
            </w:tcMar>
          </w:tcPr>
          <w:p>
            <w:r>
              <w:rPr>
                <w:b w:val="false"/>
                <w:bCs w:val="false"/>
                <w:sz w:val="18"/>
                <w:szCs w:val="18"/>
              </w:rPr>
              <w:t xml:space="preserve">5</w:t>
            </w:r>
          </w:p>
        </w:tc>
      </w:tr>
      <w:tr>
        <w:tc>
          <w:tcPr>
            <w:tcW w:type="dxa" w:w="3182"/>
            <w:tcMar>
              <w:top w:type="dxa" w:w="80"/>
              <w:left w:type="dxa" w:w="120"/>
              <w:bottom w:type="dxa" w:w="80"/>
              <w:right w:type="dxa" w:w="120"/>
            </w:tcMar>
          </w:tcPr>
          <w:p>
            <w:r>
              <w:rPr>
                <w:b w:val="false"/>
                <w:bCs w:val="false"/>
                <w:sz w:val="18"/>
                <w:szCs w:val="18"/>
              </w:rPr>
              <w:t xml:space="preserve">API Development &amp; Management</w:t>
            </w:r>
          </w:p>
        </w:tc>
        <w:tc>
          <w:tcPr>
            <w:tcW w:type="dxa" w:w="2621"/>
            <w:tcMar>
              <w:top w:type="dxa" w:w="80"/>
              <w:left w:type="dxa" w:w="120"/>
              <w:bottom w:type="dxa" w:w="80"/>
              <w:right w:type="dxa" w:w="120"/>
            </w:tcMar>
          </w:tcPr>
          <w:p>
            <w:r>
              <w:rPr>
                <w:b w:val="false"/>
                <w:bCs w:val="false"/>
                <w:sz w:val="18"/>
                <w:szCs w:val="18"/>
              </w:rPr>
              <w:t xml:space="preserve">Integration &amp; APIs</w:t>
            </w:r>
          </w:p>
        </w:tc>
        <w:tc>
          <w:tcPr>
            <w:tcW w:type="dxa" w:w="2434"/>
            <w:tcMar>
              <w:top w:type="dxa" w:w="80"/>
              <w:left w:type="dxa" w:w="120"/>
              <w:bottom w:type="dxa" w:w="80"/>
              <w:right w:type="dxa" w:w="120"/>
            </w:tcMar>
          </w:tcPr>
          <w:p>
            <w:r>
              <w:rPr>
                <w:b w:val="false"/>
                <w:bCs w:val="false"/>
                <w:sz w:val="18"/>
                <w:szCs w:val="18"/>
              </w:rPr>
              <w:t xml:space="preserve">$170,000 – $450,000</w:t>
            </w:r>
          </w:p>
        </w:tc>
        <w:tc>
          <w:tcPr>
            <w:tcW w:type="dxa" w:w="1123"/>
            <w:tcMar>
              <w:top w:type="dxa" w:w="80"/>
              <w:left w:type="dxa" w:w="120"/>
              <w:bottom w:type="dxa" w:w="80"/>
              <w:right w:type="dxa" w:w="120"/>
            </w:tcMar>
          </w:tcPr>
          <w:p>
            <w:r>
              <w:rPr>
                <w:b w:val="false"/>
                <w:bCs w:val="false"/>
                <w:sz w:val="18"/>
                <w:szCs w:val="18"/>
              </w:rPr>
              <w:t xml:space="preserve">6</w:t>
            </w:r>
          </w:p>
        </w:tc>
      </w:tr>
      <w:tr>
        <w:tc>
          <w:tcPr>
            <w:tcW w:type="dxa" w:w="3182"/>
            <w:tcMar>
              <w:top w:type="dxa" w:w="80"/>
              <w:left w:type="dxa" w:w="120"/>
              <w:bottom w:type="dxa" w:w="80"/>
              <w:right w:type="dxa" w:w="120"/>
            </w:tcMar>
          </w:tcPr>
          <w:p>
            <w:r>
              <w:rPr>
                <w:b w:val="false"/>
                <w:bCs w:val="false"/>
                <w:sz w:val="18"/>
                <w:szCs w:val="18"/>
              </w:rPr>
              <w:t xml:space="preserve">Enterprise Systems Integration</w:t>
            </w:r>
          </w:p>
        </w:tc>
        <w:tc>
          <w:tcPr>
            <w:tcW w:type="dxa" w:w="2621"/>
            <w:tcMar>
              <w:top w:type="dxa" w:w="80"/>
              <w:left w:type="dxa" w:w="120"/>
              <w:bottom w:type="dxa" w:w="80"/>
              <w:right w:type="dxa" w:w="120"/>
            </w:tcMar>
          </w:tcPr>
          <w:p>
            <w:r>
              <w:rPr>
                <w:b w:val="false"/>
                <w:bCs w:val="false"/>
                <w:sz w:val="18"/>
                <w:szCs w:val="18"/>
              </w:rPr>
              <w:t xml:space="preserve">Integration &amp; APIs</w:t>
            </w:r>
          </w:p>
        </w:tc>
        <w:tc>
          <w:tcPr>
            <w:tcW w:type="dxa" w:w="2434"/>
            <w:tcMar>
              <w:top w:type="dxa" w:w="80"/>
              <w:left w:type="dxa" w:w="120"/>
              <w:bottom w:type="dxa" w:w="80"/>
              <w:right w:type="dxa" w:w="120"/>
            </w:tcMar>
          </w:tcPr>
          <w:p>
            <w:r>
              <w:rPr>
                <w:b w:val="false"/>
                <w:bCs w:val="false"/>
                <w:sz w:val="18"/>
                <w:szCs w:val="18"/>
              </w:rPr>
              <w:t xml:space="preserve">$190,000 – $550,000</w:t>
            </w:r>
          </w:p>
        </w:tc>
        <w:tc>
          <w:tcPr>
            <w:tcW w:type="dxa" w:w="1123"/>
            <w:tcMar>
              <w:top w:type="dxa" w:w="80"/>
              <w:left w:type="dxa" w:w="120"/>
              <w:bottom w:type="dxa" w:w="80"/>
              <w:right w:type="dxa" w:w="120"/>
            </w:tcMar>
          </w:tcPr>
          <w:p>
            <w:r>
              <w:rPr>
                <w:b w:val="false"/>
                <w:bCs w:val="false"/>
                <w:sz w:val="18"/>
                <w:szCs w:val="18"/>
              </w:rPr>
              <w:t xml:space="preserve">7</w:t>
            </w:r>
          </w:p>
        </w:tc>
      </w:tr>
      <w:tr>
        <w:tc>
          <w:tcPr>
            <w:tcW w:type="dxa" w:w="3182"/>
            <w:tcMar>
              <w:top w:type="dxa" w:w="80"/>
              <w:left w:type="dxa" w:w="120"/>
              <w:bottom w:type="dxa" w:w="80"/>
              <w:right w:type="dxa" w:w="120"/>
            </w:tcMar>
          </w:tcPr>
          <w:p>
            <w:r>
              <w:rPr>
                <w:b w:val="false"/>
                <w:bCs w:val="false"/>
                <w:sz w:val="18"/>
                <w:szCs w:val="18"/>
              </w:rPr>
              <w:t xml:space="preserve">Patient Engagement Portal</w:t>
            </w:r>
          </w:p>
        </w:tc>
        <w:tc>
          <w:tcPr>
            <w:tcW w:type="dxa" w:w="2621"/>
            <w:tcMar>
              <w:top w:type="dxa" w:w="80"/>
              <w:left w:type="dxa" w:w="120"/>
              <w:bottom w:type="dxa" w:w="80"/>
              <w:right w:type="dxa" w:w="120"/>
            </w:tcMar>
          </w:tcPr>
          <w:p>
            <w:r>
              <w:rPr>
                <w:b w:val="false"/>
                <w:bCs w:val="false"/>
                <w:sz w:val="18"/>
                <w:szCs w:val="18"/>
              </w:rPr>
              <w:t xml:space="preserve">Industry Solutions</w:t>
            </w:r>
          </w:p>
        </w:tc>
        <w:tc>
          <w:tcPr>
            <w:tcW w:type="dxa" w:w="2434"/>
            <w:tcMar>
              <w:top w:type="dxa" w:w="80"/>
              <w:left w:type="dxa" w:w="120"/>
              <w:bottom w:type="dxa" w:w="80"/>
              <w:right w:type="dxa" w:w="120"/>
            </w:tcMar>
          </w:tcPr>
          <w:p>
            <w:r>
              <w:rPr>
                <w:b w:val="false"/>
                <w:bCs w:val="false"/>
                <w:sz w:val="18"/>
                <w:szCs w:val="18"/>
              </w:rPr>
              <w:t xml:space="preserve">$300,000 – $800,000</w:t>
            </w:r>
          </w:p>
        </w:tc>
        <w:tc>
          <w:tcPr>
            <w:tcW w:type="dxa" w:w="1123"/>
            <w:tcMar>
              <w:top w:type="dxa" w:w="80"/>
              <w:left w:type="dxa" w:w="120"/>
              <w:bottom w:type="dxa" w:w="80"/>
              <w:right w:type="dxa" w:w="120"/>
            </w:tcMar>
          </w:tcPr>
          <w:p>
            <w:r>
              <w:rPr>
                <w:b w:val="false"/>
                <w:bCs w:val="false"/>
                <w:sz w:val="18"/>
                <w:szCs w:val="18"/>
              </w:rPr>
              <w:t xml:space="preserve">9</w:t>
            </w:r>
          </w:p>
        </w:tc>
      </w:tr>
      <w:tr>
        <w:tc>
          <w:tcPr>
            <w:tcW w:type="dxa" w:w="3182"/>
            <w:tcMar>
              <w:top w:type="dxa" w:w="80"/>
              <w:left w:type="dxa" w:w="120"/>
              <w:bottom w:type="dxa" w:w="80"/>
              <w:right w:type="dxa" w:w="120"/>
            </w:tcMar>
          </w:tcPr>
          <w:p>
            <w:r>
              <w:rPr>
                <w:b w:val="false"/>
                <w:bCs w:val="false"/>
                <w:sz w:val="18"/>
                <w:szCs w:val="18"/>
              </w:rPr>
              <w:t xml:space="preserve">Constituent Services &amp; Permitting Portal</w:t>
            </w:r>
          </w:p>
        </w:tc>
        <w:tc>
          <w:tcPr>
            <w:tcW w:type="dxa" w:w="2621"/>
            <w:tcMar>
              <w:top w:type="dxa" w:w="80"/>
              <w:left w:type="dxa" w:w="120"/>
              <w:bottom w:type="dxa" w:w="80"/>
              <w:right w:type="dxa" w:w="120"/>
            </w:tcMar>
          </w:tcPr>
          <w:p>
            <w:r>
              <w:rPr>
                <w:b w:val="false"/>
                <w:bCs w:val="false"/>
                <w:sz w:val="18"/>
                <w:szCs w:val="18"/>
              </w:rPr>
              <w:t xml:space="preserve">Industry Solutions</w:t>
            </w:r>
          </w:p>
        </w:tc>
        <w:tc>
          <w:tcPr>
            <w:tcW w:type="dxa" w:w="2434"/>
            <w:tcMar>
              <w:top w:type="dxa" w:w="80"/>
              <w:left w:type="dxa" w:w="120"/>
              <w:bottom w:type="dxa" w:w="80"/>
              <w:right w:type="dxa" w:w="120"/>
            </w:tcMar>
          </w:tcPr>
          <w:p>
            <w:r>
              <w:rPr>
                <w:b w:val="false"/>
                <w:bCs w:val="false"/>
                <w:sz w:val="18"/>
                <w:szCs w:val="18"/>
              </w:rPr>
              <w:t xml:space="preserve">$350,000 – $950,000</w:t>
            </w:r>
          </w:p>
        </w:tc>
        <w:tc>
          <w:tcPr>
            <w:tcW w:type="dxa" w:w="1123"/>
            <w:tcMar>
              <w:top w:type="dxa" w:w="80"/>
              <w:left w:type="dxa" w:w="120"/>
              <w:bottom w:type="dxa" w:w="80"/>
              <w:right w:type="dxa" w:w="120"/>
            </w:tcMar>
          </w:tcPr>
          <w:p>
            <w:r>
              <w:rPr>
                <w:b w:val="false"/>
                <w:bCs w:val="false"/>
                <w:sz w:val="18"/>
                <w:szCs w:val="18"/>
              </w:rPr>
              <w:t xml:space="preserve">10</w:t>
            </w:r>
          </w:p>
        </w:tc>
      </w:tr>
      <w:tr>
        <w:tc>
          <w:tcPr>
            <w:tcW w:type="dxa" w:w="3182"/>
            <w:tcMar>
              <w:top w:type="dxa" w:w="80"/>
              <w:left w:type="dxa" w:w="120"/>
              <w:bottom w:type="dxa" w:w="80"/>
              <w:right w:type="dxa" w:w="120"/>
            </w:tcMar>
          </w:tcPr>
          <w:p>
            <w:r>
              <w:rPr>
                <w:b w:val="false"/>
                <w:bCs w:val="false"/>
                <w:sz w:val="18"/>
                <w:szCs w:val="18"/>
              </w:rPr>
              <w:t xml:space="preserve">Loan Origination &amp; Member Servicing Platform</w:t>
            </w:r>
          </w:p>
        </w:tc>
        <w:tc>
          <w:tcPr>
            <w:tcW w:type="dxa" w:w="2621"/>
            <w:tcMar>
              <w:top w:type="dxa" w:w="80"/>
              <w:left w:type="dxa" w:w="120"/>
              <w:bottom w:type="dxa" w:w="80"/>
              <w:right w:type="dxa" w:w="120"/>
            </w:tcMar>
          </w:tcPr>
          <w:p>
            <w:r>
              <w:rPr>
                <w:b w:val="false"/>
                <w:bCs w:val="false"/>
                <w:sz w:val="18"/>
                <w:szCs w:val="18"/>
              </w:rPr>
              <w:t xml:space="preserve">Industry Solutions</w:t>
            </w:r>
          </w:p>
        </w:tc>
        <w:tc>
          <w:tcPr>
            <w:tcW w:type="dxa" w:w="2434"/>
            <w:tcMar>
              <w:top w:type="dxa" w:w="80"/>
              <w:left w:type="dxa" w:w="120"/>
              <w:bottom w:type="dxa" w:w="80"/>
              <w:right w:type="dxa" w:w="120"/>
            </w:tcMar>
          </w:tcPr>
          <w:p>
            <w:r>
              <w:rPr>
                <w:b w:val="false"/>
                <w:bCs w:val="false"/>
                <w:sz w:val="18"/>
                <w:szCs w:val="18"/>
              </w:rPr>
              <w:t xml:space="preserve">$400,000 – $1,100,000</w:t>
            </w:r>
          </w:p>
        </w:tc>
        <w:tc>
          <w:tcPr>
            <w:tcW w:type="dxa" w:w="1123"/>
            <w:tcMar>
              <w:top w:type="dxa" w:w="80"/>
              <w:left w:type="dxa" w:w="120"/>
              <w:bottom w:type="dxa" w:w="80"/>
              <w:right w:type="dxa" w:w="120"/>
            </w:tcMar>
          </w:tcPr>
          <w:p>
            <w:r>
              <w:rPr>
                <w:b w:val="false"/>
                <w:bCs w:val="false"/>
                <w:sz w:val="18"/>
                <w:szCs w:val="18"/>
              </w:rPr>
              <w:t xml:space="preserve">11</w:t>
            </w:r>
          </w:p>
        </w:tc>
      </w:tr>
      <w:tr>
        <w:tc>
          <w:tcPr>
            <w:tcW w:type="dxa" w:w="3182"/>
            <w:tcMar>
              <w:top w:type="dxa" w:w="80"/>
              <w:left w:type="dxa" w:w="120"/>
              <w:bottom w:type="dxa" w:w="80"/>
              <w:right w:type="dxa" w:w="120"/>
            </w:tcMar>
          </w:tcPr>
          <w:p>
            <w:r>
              <w:rPr>
                <w:b w:val="false"/>
                <w:bCs w:val="false"/>
                <w:sz w:val="18"/>
                <w:szCs w:val="18"/>
              </w:rPr>
              <w:t xml:space="preserve">Application Managed Services</w:t>
            </w:r>
          </w:p>
        </w:tc>
        <w:tc>
          <w:tcPr>
            <w:tcW w:type="dxa" w:w="2621"/>
            <w:tcMar>
              <w:top w:type="dxa" w:w="80"/>
              <w:left w:type="dxa" w:w="120"/>
              <w:bottom w:type="dxa" w:w="80"/>
              <w:right w:type="dxa" w:w="120"/>
            </w:tcMar>
          </w:tcPr>
          <w:p>
            <w:r>
              <w:rPr>
                <w:b w:val="false"/>
                <w:bCs w:val="false"/>
                <w:sz w:val="18"/>
                <w:szCs w:val="18"/>
              </w:rPr>
              <w:t xml:space="preserve">Managed Services &amp; Security</w:t>
            </w:r>
          </w:p>
        </w:tc>
        <w:tc>
          <w:tcPr>
            <w:tcW w:type="dxa" w:w="2434"/>
            <w:tcMar>
              <w:top w:type="dxa" w:w="80"/>
              <w:left w:type="dxa" w:w="120"/>
              <w:bottom w:type="dxa" w:w="80"/>
              <w:right w:type="dxa" w:w="120"/>
            </w:tcMar>
          </w:tcPr>
          <w:p>
            <w:r>
              <w:rPr>
                <w:b w:val="false"/>
                <w:bCs w:val="false"/>
                <w:sz w:val="18"/>
                <w:szCs w:val="18"/>
              </w:rPr>
              <w:t xml:space="preserve">$120,000 – $480,000</w:t>
            </w:r>
          </w:p>
        </w:tc>
        <w:tc>
          <w:tcPr>
            <w:tcW w:type="dxa" w:w="1123"/>
            <w:tcMar>
              <w:top w:type="dxa" w:w="80"/>
              <w:left w:type="dxa" w:w="120"/>
              <w:bottom w:type="dxa" w:w="80"/>
              <w:right w:type="dxa" w:w="120"/>
            </w:tcMar>
          </w:tcPr>
          <w:p>
            <w:r>
              <w:rPr>
                <w:b w:val="false"/>
                <w:bCs w:val="false"/>
                <w:sz w:val="18"/>
                <w:szCs w:val="18"/>
              </w:rPr>
              <w:t xml:space="preserve">12</w:t>
            </w:r>
          </w:p>
        </w:tc>
      </w:tr>
      <w:tr>
        <w:tc>
          <w:tcPr>
            <w:tcW w:type="dxa" w:w="3182"/>
            <w:tcMar>
              <w:top w:type="dxa" w:w="80"/>
              <w:left w:type="dxa" w:w="120"/>
              <w:bottom w:type="dxa" w:w="80"/>
              <w:right w:type="dxa" w:w="120"/>
            </w:tcMar>
          </w:tcPr>
          <w:p>
            <w:r>
              <w:rPr>
                <w:b w:val="false"/>
                <w:bCs w:val="false"/>
                <w:sz w:val="18"/>
                <w:szCs w:val="18"/>
              </w:rPr>
              <w:t xml:space="preserve">Security &amp; Compliance Services</w:t>
            </w:r>
          </w:p>
        </w:tc>
        <w:tc>
          <w:tcPr>
            <w:tcW w:type="dxa" w:w="2621"/>
            <w:tcMar>
              <w:top w:type="dxa" w:w="80"/>
              <w:left w:type="dxa" w:w="120"/>
              <w:bottom w:type="dxa" w:w="80"/>
              <w:right w:type="dxa" w:w="120"/>
            </w:tcMar>
          </w:tcPr>
          <w:p>
            <w:r>
              <w:rPr>
                <w:b w:val="false"/>
                <w:bCs w:val="false"/>
                <w:sz w:val="18"/>
                <w:szCs w:val="18"/>
              </w:rPr>
              <w:t xml:space="preserve">Managed Services &amp; Security</w:t>
            </w:r>
          </w:p>
        </w:tc>
        <w:tc>
          <w:tcPr>
            <w:tcW w:type="dxa" w:w="2434"/>
            <w:tcMar>
              <w:top w:type="dxa" w:w="80"/>
              <w:left w:type="dxa" w:w="120"/>
              <w:bottom w:type="dxa" w:w="80"/>
              <w:right w:type="dxa" w:w="120"/>
            </w:tcMar>
          </w:tcPr>
          <w:p>
            <w:r>
              <w:rPr>
                <w:b w:val="false"/>
                <w:bCs w:val="false"/>
                <w:sz w:val="18"/>
                <w:szCs w:val="18"/>
              </w:rPr>
              <w:t xml:space="preserve">$90,000 – $350,000</w:t>
            </w:r>
          </w:p>
        </w:tc>
        <w:tc>
          <w:tcPr>
            <w:tcW w:type="dxa" w:w="1123"/>
            <w:tcMar>
              <w:top w:type="dxa" w:w="80"/>
              <w:left w:type="dxa" w:w="120"/>
              <w:bottom w:type="dxa" w:w="80"/>
              <w:right w:type="dxa" w:w="120"/>
            </w:tcMar>
          </w:tcPr>
          <w:p>
            <w:r>
              <w:rPr>
                <w:b w:val="false"/>
                <w:bCs w:val="false"/>
                <w:sz w:val="18"/>
                <w:szCs w:val="18"/>
              </w:rPr>
              <w:t xml:space="preserve">4</w:t>
            </w:r>
          </w:p>
        </w:tc>
      </w:tr>
    </w:tbl>
    <w:p>
      <w:pPr>
        <w:pStyle w:val="Heading1"/>
        <w:spacing w:after="120" w:before="260"/>
      </w:pPr>
      <w:r>
        <w:rPr>
          <w:b/>
          <w:bCs/>
          <w:color w:val="0B5D51"/>
          <w:sz w:val="30"/>
          <w:szCs w:val="30"/>
        </w:rPr>
        <w:t xml:space="preserve">Custom Application Development</w:t>
      </w:r>
    </w:p>
    <w:p>
      <w:pPr>
        <w:spacing w:after="120" w:line="276"/>
      </w:pPr>
      <w:r>
        <w:rPr>
          <w:i/>
          <w:iCs/>
          <w:color w:val="4A5568"/>
          <w:sz w:val="21"/>
          <w:szCs w:val="21"/>
        </w:rPr>
        <w:t xml:space="preserve">Bespoke web and mobile applications and modernization of legacy systems.</w:t>
      </w:r>
    </w:p>
    <w:p>
      <w:pPr>
        <w:pStyle w:val="Heading2"/>
        <w:spacing w:after="120" w:before="260"/>
      </w:pPr>
      <w:r>
        <w:rPr>
          <w:b/>
          <w:bCs/>
          <w:color w:val="0B5D51"/>
          <w:sz w:val="24"/>
          <w:szCs w:val="24"/>
        </w:rPr>
        <w:t xml:space="preserve">Custom Web Application Platform</w:t>
      </w:r>
    </w:p>
    <w:p>
      <w:pPr>
        <w:spacing w:after="120" w:line="276"/>
      </w:pPr>
      <w:r>
        <w:rPr>
          <w:i/>
          <w:iCs/>
          <w:color w:val="4A5568"/>
          <w:sz w:val="21"/>
          <w:szCs w:val="21"/>
        </w:rPr>
        <w:t xml:space="preserve">A tailored web application built around your workflows.</w:t>
      </w:r>
    </w:p>
    <w:p>
      <w:pPr>
        <w:spacing w:after="120" w:line="276"/>
      </w:pPr>
      <w:r>
        <w:rPr>
          <w:sz w:val="21"/>
          <w:szCs w:val="21"/>
        </w:rPr>
        <w:t xml:space="preserve">Design and delivery of a custom, cloud-hosted web application built around the organization's specific workflows, users, and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financial services, manufacturing, nonprofit, government, education</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WCAG 2.1 AA</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by workstream, invoiced on milestones · $220,000 – $550,000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7 months</w:t>
            </w:r>
          </w:p>
        </w:tc>
      </w:tr>
    </w:tbl>
    <w:p>
      <w:pPr>
        <w:spacing w:after="120" w:line="276"/>
      </w:pPr>
      <w:r>
        <w:rPr>
          <w:i/>
          <w:iCs/>
          <w:color w:val="4A5568"/>
          <w:sz w:val="18"/>
          <w:szCs w:val="18"/>
        </w:rPr>
        <w:t xml:space="preserve">See the dedicated datasheet for full capabilities, integrations, and positioning.</w:t>
      </w:r>
    </w:p>
    <w:p>
      <w:pPr>
        <w:pStyle w:val="Heading2"/>
        <w:spacing w:after="120" w:before="260"/>
      </w:pPr>
      <w:r>
        <w:rPr>
          <w:b/>
          <w:bCs/>
          <w:color w:val="0B5D51"/>
          <w:sz w:val="24"/>
          <w:szCs w:val="24"/>
        </w:rPr>
        <w:t xml:space="preserve">Mobile Application Suite</w:t>
      </w:r>
    </w:p>
    <w:p>
      <w:pPr>
        <w:spacing w:after="120" w:line="276"/>
      </w:pPr>
      <w:r>
        <w:rPr>
          <w:i/>
          <w:iCs/>
          <w:color w:val="4A5568"/>
          <w:sz w:val="21"/>
          <w:szCs w:val="21"/>
        </w:rPr>
        <w:t xml:space="preserve">Field-ready mobile apps that work even offline.</w:t>
      </w:r>
    </w:p>
    <w:p>
      <w:pPr>
        <w:spacing w:after="120" w:line="276"/>
      </w:pPr>
      <w:r>
        <w:rPr>
          <w:sz w:val="21"/>
          <w:szCs w:val="21"/>
        </w:rPr>
        <w:t xml:space="preserve">Design and delivery of native-quality mobile applications for frontline and field staff, with reliable offline operation and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manufacturing, government, retail, nonprofit</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WCAG 2.1 AA</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by workstream, invoiced on milestones · $260,000 – $600,000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8 months</w:t>
            </w:r>
          </w:p>
        </w:tc>
      </w:tr>
    </w:tbl>
    <w:p>
      <w:pPr>
        <w:spacing w:after="120" w:line="276"/>
      </w:pPr>
      <w:r>
        <w:rPr>
          <w:i/>
          <w:iCs/>
          <w:color w:val="4A5568"/>
          <w:sz w:val="18"/>
          <w:szCs w:val="18"/>
        </w:rPr>
        <w:t xml:space="preserve">See the dedicated datasheet for full capabilities, integrations, and positioning.</w:t>
      </w:r>
    </w:p>
    <w:p>
      <w:pPr>
        <w:pStyle w:val="Heading2"/>
        <w:spacing w:after="120" w:before="260"/>
      </w:pPr>
      <w:r>
        <w:rPr>
          <w:b/>
          <w:bCs/>
          <w:color w:val="0B5D51"/>
          <w:sz w:val="24"/>
          <w:szCs w:val="24"/>
        </w:rPr>
        <w:t xml:space="preserve">Legacy Application Modernization</w:t>
      </w:r>
    </w:p>
    <w:p>
      <w:pPr>
        <w:spacing w:after="120" w:line="276"/>
      </w:pPr>
      <w:r>
        <w:rPr>
          <w:i/>
          <w:iCs/>
          <w:color w:val="4A5568"/>
          <w:sz w:val="21"/>
          <w:szCs w:val="21"/>
        </w:rPr>
        <w:t xml:space="preserve">Retire risky legacy systems without a big-bang rewrite.</w:t>
      </w:r>
    </w:p>
    <w:p>
      <w:pPr>
        <w:spacing w:after="120" w:line="276"/>
      </w:pPr>
      <w:r>
        <w:rPr>
          <w:sz w:val="21"/>
          <w:szCs w:val="21"/>
        </w:rPr>
        <w:t xml:space="preserve">Incremental modernization of an aging, hard-to-maintain application onto a supported, cloud-native architecture with no loss of business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government, financial services, healthcare, manufacturing, education</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WCAG 2.1 AA</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per phase, invoiced on milestones · $400,000 – $1,200,000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12 months</w:t>
            </w:r>
          </w:p>
        </w:tc>
      </w:tr>
    </w:tbl>
    <w:p>
      <w:pPr>
        <w:spacing w:after="120" w:line="276"/>
      </w:pPr>
      <w:r>
        <w:rPr>
          <w:i/>
          <w:iCs/>
          <w:color w:val="4A5568"/>
          <w:sz w:val="18"/>
          <w:szCs w:val="18"/>
        </w:rPr>
        <w:t xml:space="preserve">See the dedicated datasheet for full capabilities, integrations, and positioning.</w:t>
      </w:r>
    </w:p>
    <w:p>
      <w:pPr>
        <w:pStyle w:val="Heading1"/>
        <w:spacing w:after="120" w:before="260"/>
      </w:pPr>
      <w:r>
        <w:rPr>
          <w:b/>
          <w:bCs/>
          <w:color w:val="0B5D51"/>
          <w:sz w:val="30"/>
          <w:szCs w:val="30"/>
        </w:rPr>
        <w:t xml:space="preserve">Data &amp; Analytics</w:t>
      </w:r>
    </w:p>
    <w:p>
      <w:pPr>
        <w:spacing w:after="120" w:line="276"/>
      </w:pPr>
      <w:r>
        <w:rPr>
          <w:i/>
          <w:iCs/>
          <w:color w:val="4A5568"/>
          <w:sz w:val="21"/>
          <w:szCs w:val="21"/>
        </w:rPr>
        <w:t xml:space="preserve">Data platforms, pipelines, and analytics that turn scattered data into decisions.</w:t>
      </w:r>
    </w:p>
    <w:p>
      <w:pPr>
        <w:pStyle w:val="Heading2"/>
        <w:spacing w:after="120" w:before="260"/>
      </w:pPr>
      <w:r>
        <w:rPr>
          <w:b/>
          <w:bCs/>
          <w:color w:val="0B5D51"/>
          <w:sz w:val="24"/>
          <w:szCs w:val="24"/>
        </w:rPr>
        <w:t xml:space="preserve">Enterprise Data Warehouse</w:t>
      </w:r>
    </w:p>
    <w:p>
      <w:pPr>
        <w:spacing w:after="120" w:line="276"/>
      </w:pPr>
      <w:r>
        <w:rPr>
          <w:i/>
          <w:iCs/>
          <w:color w:val="4A5568"/>
          <w:sz w:val="21"/>
          <w:szCs w:val="21"/>
        </w:rPr>
        <w:t xml:space="preserve">One governed source of truth for your data.</w:t>
      </w:r>
    </w:p>
    <w:p>
      <w:pPr>
        <w:spacing w:after="120" w:line="276"/>
      </w:pPr>
      <w:r>
        <w:rPr>
          <w:sz w:val="21"/>
          <w:szCs w:val="21"/>
        </w:rPr>
        <w:t xml:space="preserve">Consolidation of data from multiple source systems into a governed cloud data warehouse with a documented, trustworthy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healthcare, financial services, manufacturing, retail, education, government</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data-governance and retention policies</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by workstream, invoiced on milestones · $300,000 – $900,000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9 months</w:t>
            </w:r>
          </w:p>
        </w:tc>
      </w:tr>
    </w:tbl>
    <w:p>
      <w:pPr>
        <w:spacing w:after="120" w:line="276"/>
      </w:pPr>
      <w:r>
        <w:rPr>
          <w:i/>
          <w:iCs/>
          <w:color w:val="4A5568"/>
          <w:sz w:val="18"/>
          <w:szCs w:val="18"/>
        </w:rPr>
        <w:t xml:space="preserve">See the dedicated datasheet for full capabilities, integrations, and positioning.</w:t>
      </w:r>
    </w:p>
    <w:p>
      <w:pPr>
        <w:pStyle w:val="Heading2"/>
        <w:spacing w:after="120" w:before="260"/>
      </w:pPr>
      <w:r>
        <w:rPr>
          <w:b/>
          <w:bCs/>
          <w:color w:val="0B5D51"/>
          <w:sz w:val="24"/>
          <w:szCs w:val="24"/>
        </w:rPr>
        <w:t xml:space="preserve">Business Intelligence &amp; Dashboards</w:t>
      </w:r>
    </w:p>
    <w:p>
      <w:pPr>
        <w:spacing w:after="120" w:line="276"/>
      </w:pPr>
      <w:r>
        <w:rPr>
          <w:i/>
          <w:iCs/>
          <w:color w:val="4A5568"/>
          <w:sz w:val="21"/>
          <w:szCs w:val="21"/>
        </w:rPr>
        <w:t xml:space="preserve">Self-service dashboards your business teams actually use.</w:t>
      </w:r>
    </w:p>
    <w:p>
      <w:pPr>
        <w:spacing w:after="120" w:line="276"/>
      </w:pPr>
      <w:r>
        <w:rPr>
          <w:sz w:val="21"/>
          <w:szCs w:val="21"/>
        </w:rPr>
        <w:t xml:space="preserve">Design and delivery of governed, self-service dashboards and reporting that give business users answers without waiting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retail, financial services, manufacturing, healthcare, education, government, nonprofit</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WCAG 2.1 AA</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by workstream, invoiced on milestones · $150,000 – $400,000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5 months</w:t>
            </w:r>
          </w:p>
        </w:tc>
      </w:tr>
    </w:tbl>
    <w:p>
      <w:pPr>
        <w:spacing w:after="120" w:line="276"/>
      </w:pPr>
      <w:r>
        <w:rPr>
          <w:i/>
          <w:iCs/>
          <w:color w:val="4A5568"/>
          <w:sz w:val="18"/>
          <w:szCs w:val="18"/>
        </w:rPr>
        <w:t xml:space="preserve">See the dedicated datasheet for full capabilities, integrations, and positioning.</w:t>
      </w:r>
    </w:p>
    <w:p>
      <w:pPr>
        <w:pStyle w:val="Heading2"/>
        <w:spacing w:after="120" w:before="260"/>
      </w:pPr>
      <w:r>
        <w:rPr>
          <w:b/>
          <w:bCs/>
          <w:color w:val="0B5D51"/>
          <w:sz w:val="24"/>
          <w:szCs w:val="24"/>
        </w:rPr>
        <w:t xml:space="preserve">Data Integration &amp; Pipelines</w:t>
      </w:r>
    </w:p>
    <w:p>
      <w:pPr>
        <w:spacing w:after="120" w:line="276"/>
      </w:pPr>
      <w:r>
        <w:rPr>
          <w:i/>
          <w:iCs/>
          <w:color w:val="4A5568"/>
          <w:sz w:val="21"/>
          <w:szCs w:val="21"/>
        </w:rPr>
        <w:t xml:space="preserve">Move data reliably between the systems that need it.</w:t>
      </w:r>
    </w:p>
    <w:p>
      <w:pPr>
        <w:spacing w:after="120" w:line="276"/>
      </w:pPr>
      <w:r>
        <w:rPr>
          <w:sz w:val="21"/>
          <w:szCs w:val="21"/>
        </w:rPr>
        <w:t xml:space="preserve">Design and delivery of reliable, monitored data pipelines that move and transform data between systems, eliminating manual exports and dual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healthcare, financial services, manufacturing, retail, education, government</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data-governance and retention policies</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by workstream, invoiced on milestones · $160,000 – $450,000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6 months</w:t>
            </w:r>
          </w:p>
        </w:tc>
      </w:tr>
    </w:tbl>
    <w:p>
      <w:pPr>
        <w:spacing w:after="120" w:line="276"/>
      </w:pPr>
      <w:r>
        <w:rPr>
          <w:i/>
          <w:iCs/>
          <w:color w:val="4A5568"/>
          <w:sz w:val="18"/>
          <w:szCs w:val="18"/>
        </w:rPr>
        <w:t xml:space="preserve">See the dedicated datasheet for full capabilities, integrations, and positioning.</w:t>
      </w:r>
    </w:p>
    <w:p>
      <w:pPr>
        <w:pStyle w:val="Heading1"/>
        <w:spacing w:after="120" w:before="260"/>
      </w:pPr>
      <w:r>
        <w:rPr>
          <w:b/>
          <w:bCs/>
          <w:color w:val="0B5D51"/>
          <w:sz w:val="30"/>
          <w:szCs w:val="30"/>
        </w:rPr>
        <w:t xml:space="preserve">Cloud &amp; Platform Engineering</w:t>
      </w:r>
    </w:p>
    <w:p>
      <w:pPr>
        <w:spacing w:after="120" w:line="276"/>
      </w:pPr>
      <w:r>
        <w:rPr>
          <w:i/>
          <w:iCs/>
          <w:color w:val="4A5568"/>
          <w:sz w:val="21"/>
          <w:szCs w:val="21"/>
        </w:rPr>
        <w:t xml:space="preserve">Cloud migration and the automation that keeps modern platforms reliable.</w:t>
      </w:r>
    </w:p>
    <w:p>
      <w:pPr>
        <w:pStyle w:val="Heading2"/>
        <w:spacing w:after="120" w:before="260"/>
      </w:pPr>
      <w:r>
        <w:rPr>
          <w:b/>
          <w:bCs/>
          <w:color w:val="0B5D51"/>
          <w:sz w:val="24"/>
          <w:szCs w:val="24"/>
        </w:rPr>
        <w:t xml:space="preserve">Cloud Migration</w:t>
      </w:r>
    </w:p>
    <w:p>
      <w:pPr>
        <w:spacing w:after="120" w:line="276"/>
      </w:pPr>
      <w:r>
        <w:rPr>
          <w:i/>
          <w:iCs/>
          <w:color w:val="4A5568"/>
          <w:sz w:val="21"/>
          <w:szCs w:val="21"/>
        </w:rPr>
        <w:t xml:space="preserve">Move to the cloud with a plan, not a leap of faith.</w:t>
      </w:r>
    </w:p>
    <w:p>
      <w:pPr>
        <w:spacing w:after="120" w:line="276"/>
      </w:pPr>
      <w:r>
        <w:rPr>
          <w:sz w:val="21"/>
          <w:szCs w:val="21"/>
        </w:rPr>
        <w:t xml:space="preserve">Assessment, planning, and execution of a migration from on-premises or legacy hosting to a modern, cost-efficient cloud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financial services, healthcare, government, manufacturing, education, retail</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ISO/IEC 27001</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per phase, invoiced on milestones · $200,000 – $700,000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8 months</w:t>
            </w:r>
          </w:p>
        </w:tc>
      </w:tr>
    </w:tbl>
    <w:p>
      <w:pPr>
        <w:spacing w:after="120" w:line="276"/>
      </w:pPr>
      <w:r>
        <w:rPr>
          <w:i/>
          <w:iCs/>
          <w:color w:val="4A5568"/>
          <w:sz w:val="18"/>
          <w:szCs w:val="18"/>
        </w:rPr>
        <w:t xml:space="preserve">See the dedicated datasheet for full capabilities, integrations, and positioning.</w:t>
      </w:r>
    </w:p>
    <w:p>
      <w:pPr>
        <w:pStyle w:val="Heading2"/>
        <w:spacing w:after="120" w:before="260"/>
      </w:pPr>
      <w:r>
        <w:rPr>
          <w:b/>
          <w:bCs/>
          <w:color w:val="0B5D51"/>
          <w:sz w:val="24"/>
          <w:szCs w:val="24"/>
        </w:rPr>
        <w:t xml:space="preserve">DevOps &amp; Platform Automation</w:t>
      </w:r>
    </w:p>
    <w:p>
      <w:pPr>
        <w:spacing w:after="120" w:line="276"/>
      </w:pPr>
      <w:r>
        <w:rPr>
          <w:i/>
          <w:iCs/>
          <w:color w:val="4A5568"/>
          <w:sz w:val="21"/>
          <w:szCs w:val="21"/>
        </w:rPr>
        <w:t xml:space="preserve">Ship faster and sleep better with automated delivery.</w:t>
      </w:r>
    </w:p>
    <w:p>
      <w:pPr>
        <w:spacing w:after="120" w:line="276"/>
      </w:pPr>
      <w:r>
        <w:rPr>
          <w:sz w:val="21"/>
          <w:szCs w:val="21"/>
        </w:rPr>
        <w:t xml:space="preserve">Establishment of CI/CD pipelines, infrastructure-as-code, and observability so software ships frequently, safely, and repeatably.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financial services, healthcare, manufacturing, retail, government, education</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ISO/IEC 27001</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by workstream, invoiced on milestones · $150,000 – $400,000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5 months</w:t>
            </w:r>
          </w:p>
        </w:tc>
      </w:tr>
    </w:tbl>
    <w:p>
      <w:pPr>
        <w:spacing w:after="120" w:line="276"/>
      </w:pPr>
      <w:r>
        <w:rPr>
          <w:i/>
          <w:iCs/>
          <w:color w:val="4A5568"/>
          <w:sz w:val="18"/>
          <w:szCs w:val="18"/>
        </w:rPr>
        <w:t xml:space="preserve">See the dedicated datasheet for full capabilities, integrations, and positioning.</w:t>
      </w:r>
    </w:p>
    <w:p>
      <w:pPr>
        <w:pStyle w:val="Heading1"/>
        <w:spacing w:after="120" w:before="260"/>
      </w:pPr>
      <w:r>
        <w:rPr>
          <w:b/>
          <w:bCs/>
          <w:color w:val="0B5D51"/>
          <w:sz w:val="30"/>
          <w:szCs w:val="30"/>
        </w:rPr>
        <w:t xml:space="preserve">Integration &amp; APIs</w:t>
      </w:r>
    </w:p>
    <w:p>
      <w:pPr>
        <w:spacing w:after="120" w:line="276"/>
      </w:pPr>
      <w:r>
        <w:rPr>
          <w:i/>
          <w:iCs/>
          <w:color w:val="4A5568"/>
          <w:sz w:val="21"/>
          <w:szCs w:val="21"/>
        </w:rPr>
        <w:t xml:space="preserve">Connecting the systems an organization already runs.</w:t>
      </w:r>
    </w:p>
    <w:p>
      <w:pPr>
        <w:pStyle w:val="Heading2"/>
        <w:spacing w:after="120" w:before="260"/>
      </w:pPr>
      <w:r>
        <w:rPr>
          <w:b/>
          <w:bCs/>
          <w:color w:val="0B5D51"/>
          <w:sz w:val="24"/>
          <w:szCs w:val="24"/>
        </w:rPr>
        <w:t xml:space="preserve">API Development &amp; Management</w:t>
      </w:r>
    </w:p>
    <w:p>
      <w:pPr>
        <w:spacing w:after="120" w:line="276"/>
      </w:pPr>
      <w:r>
        <w:rPr>
          <w:i/>
          <w:iCs/>
          <w:color w:val="4A5568"/>
          <w:sz w:val="21"/>
          <w:szCs w:val="21"/>
        </w:rPr>
        <w:t xml:space="preserve">Turn your systems and data into governed, reusable APIs.</w:t>
      </w:r>
    </w:p>
    <w:p>
      <w:pPr>
        <w:spacing w:after="120" w:line="276"/>
      </w:pPr>
      <w:r>
        <w:rPr>
          <w:sz w:val="21"/>
          <w:szCs w:val="21"/>
        </w:rPr>
        <w:t xml:space="preserve">Design, build, and management of secure, documented APIs that expose the organization's systems and data for internal and partner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financial services, healthcare, retail, government, manufacturing</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data-governance and retention policies</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by workstream, invoiced on milestones · $170,000 – $450,000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6 months</w:t>
            </w:r>
          </w:p>
        </w:tc>
      </w:tr>
    </w:tbl>
    <w:p>
      <w:pPr>
        <w:spacing w:after="120" w:line="276"/>
      </w:pPr>
      <w:r>
        <w:rPr>
          <w:i/>
          <w:iCs/>
          <w:color w:val="4A5568"/>
          <w:sz w:val="18"/>
          <w:szCs w:val="18"/>
        </w:rPr>
        <w:t xml:space="preserve">See the dedicated datasheet for full capabilities, integrations, and positioning.</w:t>
      </w:r>
    </w:p>
    <w:p>
      <w:pPr>
        <w:pStyle w:val="Heading2"/>
        <w:spacing w:after="120" w:before="260"/>
      </w:pPr>
      <w:r>
        <w:rPr>
          <w:b/>
          <w:bCs/>
          <w:color w:val="0B5D51"/>
          <w:sz w:val="24"/>
          <w:szCs w:val="24"/>
        </w:rPr>
        <w:t xml:space="preserve">Enterprise Systems Integration</w:t>
      </w:r>
    </w:p>
    <w:p>
      <w:pPr>
        <w:spacing w:after="120" w:line="276"/>
      </w:pPr>
      <w:r>
        <w:rPr>
          <w:i/>
          <w:iCs/>
          <w:color w:val="4A5568"/>
          <w:sz w:val="21"/>
          <w:szCs w:val="21"/>
        </w:rPr>
        <w:t xml:space="preserve">Make the systems you already own work together.</w:t>
      </w:r>
    </w:p>
    <w:p>
      <w:pPr>
        <w:spacing w:after="120" w:line="276"/>
      </w:pPr>
      <w:r>
        <w:rPr>
          <w:sz w:val="21"/>
          <w:szCs w:val="21"/>
        </w:rPr>
        <w:t xml:space="preserve">Integration of disparate enterprise systems into coordinated, automated workflows that eliminate manual hand-offs and dual data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healthcare, financial services, manufacturing, retail, education, government</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data-governance and retention policies</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by workstream, invoiced on milestones · $190,000 – $550,000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7 months</w:t>
            </w:r>
          </w:p>
        </w:tc>
      </w:tr>
    </w:tbl>
    <w:p>
      <w:pPr>
        <w:spacing w:after="120" w:line="276"/>
      </w:pPr>
      <w:r>
        <w:rPr>
          <w:i/>
          <w:iCs/>
          <w:color w:val="4A5568"/>
          <w:sz w:val="18"/>
          <w:szCs w:val="18"/>
        </w:rPr>
        <w:t xml:space="preserve">See the dedicated datasheet for full capabilities, integrations, and positioning.</w:t>
      </w:r>
    </w:p>
    <w:p>
      <w:pPr>
        <w:pStyle w:val="Heading1"/>
        <w:spacing w:after="120" w:before="260"/>
      </w:pPr>
      <w:r>
        <w:rPr>
          <w:b/>
          <w:bCs/>
          <w:color w:val="0B5D51"/>
          <w:sz w:val="30"/>
          <w:szCs w:val="30"/>
        </w:rPr>
        <w:t xml:space="preserve">Industry Solutions</w:t>
      </w:r>
    </w:p>
    <w:p>
      <w:pPr>
        <w:spacing w:after="120" w:line="276"/>
      </w:pPr>
      <w:r>
        <w:rPr>
          <w:i/>
          <w:iCs/>
          <w:color w:val="4A5568"/>
          <w:sz w:val="21"/>
          <w:szCs w:val="21"/>
        </w:rPr>
        <w:t xml:space="preserve">Configurable, vertical products for regulated industries.</w:t>
      </w:r>
    </w:p>
    <w:p>
      <w:pPr>
        <w:pStyle w:val="Heading2"/>
        <w:spacing w:after="120" w:before="260"/>
      </w:pPr>
      <w:r>
        <w:rPr>
          <w:b/>
          <w:bCs/>
          <w:color w:val="0B5D51"/>
          <w:sz w:val="24"/>
          <w:szCs w:val="24"/>
        </w:rPr>
        <w:t xml:space="preserve">Patient Engagement Portal</w:t>
      </w:r>
    </w:p>
    <w:p>
      <w:pPr>
        <w:spacing w:after="120" w:line="276"/>
      </w:pPr>
      <w:r>
        <w:rPr>
          <w:i/>
          <w:iCs/>
          <w:color w:val="4A5568"/>
          <w:sz w:val="21"/>
          <w:szCs w:val="21"/>
        </w:rPr>
        <w:t xml:space="preserve">Self-service scheduling, intake, and messaging for patients.</w:t>
      </w:r>
    </w:p>
    <w:p>
      <w:pPr>
        <w:spacing w:after="120" w:line="276"/>
      </w:pPr>
      <w:r>
        <w:rPr>
          <w:sz w:val="21"/>
          <w:szCs w:val="21"/>
        </w:rPr>
        <w:t xml:space="preserve">A secure, HIPAA-aligned patient portal for scheduling, digital intake, secure messaging, and access to records, integrated with the EHR.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healthcare</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HIPAA, WCAG 2.1 AA</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by workstream, invoiced on milestones · $300,000 – $800,000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9 months</w:t>
            </w:r>
          </w:p>
        </w:tc>
      </w:tr>
    </w:tbl>
    <w:p>
      <w:pPr>
        <w:spacing w:after="120" w:line="276"/>
      </w:pPr>
      <w:r>
        <w:rPr>
          <w:i/>
          <w:iCs/>
          <w:color w:val="4A5568"/>
          <w:sz w:val="18"/>
          <w:szCs w:val="18"/>
        </w:rPr>
        <w:t xml:space="preserve">See the dedicated datasheet for full capabilities, integrations, and positioning.</w:t>
      </w:r>
    </w:p>
    <w:p>
      <w:pPr>
        <w:pStyle w:val="Heading2"/>
        <w:spacing w:after="120" w:before="260"/>
      </w:pPr>
      <w:r>
        <w:rPr>
          <w:b/>
          <w:bCs/>
          <w:color w:val="0B5D51"/>
          <w:sz w:val="24"/>
          <w:szCs w:val="24"/>
        </w:rPr>
        <w:t xml:space="preserve">Constituent Services &amp; Permitting Portal</w:t>
      </w:r>
    </w:p>
    <w:p>
      <w:pPr>
        <w:spacing w:after="120" w:line="276"/>
      </w:pPr>
      <w:r>
        <w:rPr>
          <w:i/>
          <w:iCs/>
          <w:color w:val="4A5568"/>
          <w:sz w:val="21"/>
          <w:szCs w:val="21"/>
        </w:rPr>
        <w:t xml:space="preserve">Move permits, licensing, and requests online.</w:t>
      </w:r>
    </w:p>
    <w:p>
      <w:pPr>
        <w:spacing w:after="120" w:line="276"/>
      </w:pPr>
      <w:r>
        <w:rPr>
          <w:sz w:val="21"/>
          <w:szCs w:val="21"/>
        </w:rPr>
        <w:t xml:space="preserve">A public-facing portal that moves permitting, licensing, and service requests online, with case tracking and configurable review workflows for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government</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Section 508, WCAG 2.1 AA, state records-retention rules</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per phase, invoiced on milestones · $350,000 – $950,000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10 months</w:t>
            </w:r>
          </w:p>
        </w:tc>
      </w:tr>
    </w:tbl>
    <w:p>
      <w:pPr>
        <w:spacing w:after="120" w:line="276"/>
      </w:pPr>
      <w:r>
        <w:rPr>
          <w:i/>
          <w:iCs/>
          <w:color w:val="4A5568"/>
          <w:sz w:val="18"/>
          <w:szCs w:val="18"/>
        </w:rPr>
        <w:t xml:space="preserve">See the dedicated datasheet for full capabilities, integrations, and positioning.</w:t>
      </w:r>
    </w:p>
    <w:p>
      <w:pPr>
        <w:pStyle w:val="Heading2"/>
        <w:spacing w:after="120" w:before="260"/>
      </w:pPr>
      <w:r>
        <w:rPr>
          <w:b/>
          <w:bCs/>
          <w:color w:val="0B5D51"/>
          <w:sz w:val="24"/>
          <w:szCs w:val="24"/>
        </w:rPr>
        <w:t xml:space="preserve">Loan Origination &amp; Member Servicing Platform</w:t>
      </w:r>
    </w:p>
    <w:p>
      <w:pPr>
        <w:spacing w:after="120" w:line="276"/>
      </w:pPr>
      <w:r>
        <w:rPr>
          <w:i/>
          <w:iCs/>
          <w:color w:val="4A5568"/>
          <w:sz w:val="21"/>
          <w:szCs w:val="21"/>
        </w:rPr>
        <w:t xml:space="preserve">Faster loan decisions and a modern member experience.</w:t>
      </w:r>
    </w:p>
    <w:p>
      <w:pPr>
        <w:spacing w:after="120" w:line="276"/>
      </w:pPr>
      <w:r>
        <w:rPr>
          <w:sz w:val="21"/>
          <w:szCs w:val="21"/>
        </w:rPr>
        <w:t xml:space="preserve">A digital loan-application and decisioning workflow with a member self-service portal and staff underwriting and servicing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financial services</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GLBA, WCAG 2.1 AA</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per phase, invoiced on milestones · $400,000 – $1,100,000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11 months</w:t>
            </w:r>
          </w:p>
        </w:tc>
      </w:tr>
    </w:tbl>
    <w:p>
      <w:pPr>
        <w:spacing w:after="120" w:line="276"/>
      </w:pPr>
      <w:r>
        <w:rPr>
          <w:i/>
          <w:iCs/>
          <w:color w:val="4A5568"/>
          <w:sz w:val="18"/>
          <w:szCs w:val="18"/>
        </w:rPr>
        <w:t xml:space="preserve">See the dedicated datasheet for full capabilities, integrations, and positioning.</w:t>
      </w:r>
    </w:p>
    <w:p>
      <w:pPr>
        <w:pStyle w:val="Heading1"/>
        <w:spacing w:after="120" w:before="260"/>
      </w:pPr>
      <w:r>
        <w:rPr>
          <w:b/>
          <w:bCs/>
          <w:color w:val="0B5D51"/>
          <w:sz w:val="30"/>
          <w:szCs w:val="30"/>
        </w:rPr>
        <w:t xml:space="preserve">Managed Services &amp; Security</w:t>
      </w:r>
    </w:p>
    <w:p>
      <w:pPr>
        <w:spacing w:after="120" w:line="276"/>
      </w:pPr>
      <w:r>
        <w:rPr>
          <w:i/>
          <w:iCs/>
          <w:color w:val="4A5568"/>
          <w:sz w:val="21"/>
          <w:szCs w:val="21"/>
        </w:rPr>
        <w:t xml:space="preserve">Ongoing operation, support, and security of delivered software.</w:t>
      </w:r>
    </w:p>
    <w:p>
      <w:pPr>
        <w:pStyle w:val="Heading2"/>
        <w:spacing w:after="120" w:before="260"/>
      </w:pPr>
      <w:r>
        <w:rPr>
          <w:b/>
          <w:bCs/>
          <w:color w:val="0B5D51"/>
          <w:sz w:val="24"/>
          <w:szCs w:val="24"/>
        </w:rPr>
        <w:t xml:space="preserve">Application Managed Services</w:t>
      </w:r>
    </w:p>
    <w:p>
      <w:pPr>
        <w:spacing w:after="120" w:line="276"/>
      </w:pPr>
      <w:r>
        <w:rPr>
          <w:i/>
          <w:iCs/>
          <w:color w:val="4A5568"/>
          <w:sz w:val="21"/>
          <w:szCs w:val="21"/>
        </w:rPr>
        <w:t xml:space="preserve">We keep your software healthy so your team can focus.</w:t>
      </w:r>
    </w:p>
    <w:p>
      <w:pPr>
        <w:spacing w:after="120" w:line="276"/>
      </w:pPr>
      <w:r>
        <w:rPr>
          <w:sz w:val="21"/>
          <w:szCs w:val="21"/>
        </w:rPr>
        <w:t xml:space="preserve">Ongoing operation, support, monitoring, and enhancement of an existing application under a defined service-level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healthcare, financial services, government, manufacturing, retail, education, nonprofit</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ISO/IEC 27001</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Monthly retainer by service tier · $120,000 – $480,000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12 months</w:t>
            </w:r>
          </w:p>
        </w:tc>
      </w:tr>
    </w:tbl>
    <w:p>
      <w:pPr>
        <w:spacing w:after="120" w:line="276"/>
      </w:pPr>
      <w:r>
        <w:rPr>
          <w:i/>
          <w:iCs/>
          <w:color w:val="4A5568"/>
          <w:sz w:val="18"/>
          <w:szCs w:val="18"/>
        </w:rPr>
        <w:t xml:space="preserve">See the dedicated datasheet for full capabilities, integrations, and positioning.</w:t>
      </w:r>
    </w:p>
    <w:p>
      <w:pPr>
        <w:pStyle w:val="Heading2"/>
        <w:spacing w:after="120" w:before="260"/>
      </w:pPr>
      <w:r>
        <w:rPr>
          <w:b/>
          <w:bCs/>
          <w:color w:val="0B5D51"/>
          <w:sz w:val="24"/>
          <w:szCs w:val="24"/>
        </w:rPr>
        <w:t xml:space="preserve">Security &amp; Compliance Services</w:t>
      </w:r>
    </w:p>
    <w:p>
      <w:pPr>
        <w:spacing w:after="120" w:line="276"/>
      </w:pPr>
      <w:r>
        <w:rPr>
          <w:i/>
          <w:iCs/>
          <w:color w:val="4A5568"/>
          <w:sz w:val="21"/>
          <w:szCs w:val="21"/>
        </w:rPr>
        <w:t xml:space="preserve">Find and fix risk before it finds you.</w:t>
      </w:r>
    </w:p>
    <w:p>
      <w:pPr>
        <w:spacing w:after="120" w:line="276"/>
      </w:pPr>
      <w:r>
        <w:rPr>
          <w:sz w:val="21"/>
          <w:szCs w:val="21"/>
        </w:rPr>
        <w:t xml:space="preserve">Assessment and hardening of applications and infrastructure against security risk, with support for compliance frameworks such as SOC 2 and HIPAA.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healthcare, financial services, government, manufacturing, retail, education</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ISO/IEC 27001, HIPAA-aligned practices</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per assessment, or retainer · $90,000 – $350,000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4 months</w:t>
            </w:r>
          </w:p>
        </w:tc>
      </w:tr>
    </w:tbl>
    <w:p>
      <w:pPr>
        <w:spacing w:after="120" w:line="276"/>
      </w:pPr>
      <w:r>
        <w:rPr>
          <w:i/>
          <w:iCs/>
          <w:color w:val="4A5568"/>
          <w:sz w:val="18"/>
          <w:szCs w:val="18"/>
        </w:rPr>
        <w:t xml:space="preserve">See the dedicated datasheet for full capabilities, integrations, and positioning.</w:t>
      </w:r>
    </w:p>
    <w:p>
      <w:r>
        <w:br w:type="page"/>
      </w:r>
    </w:p>
    <w:p>
      <w:pPr>
        <w:pStyle w:val="Heading1"/>
        <w:spacing w:after="120" w:before="260"/>
      </w:pPr>
      <w:r>
        <w:rPr>
          <w:b/>
          <w:bCs/>
          <w:color w:val="0B5D51"/>
          <w:sz w:val="30"/>
          <w:szCs w:val="30"/>
        </w:rPr>
        <w:t xml:space="preserve">Choosing between close matches</w:t>
      </w:r>
    </w:p>
    <w:p>
      <w:pPr>
        <w:pStyle w:val="ListParagraph"/>
        <w:numPr>
          <w:ilvl w:val="0"/>
          <w:numId w:val="2"/>
        </w:numPr>
        <w:spacing w:after="60" w:line="276"/>
      </w:pPr>
      <w:r>
        <w:rPr>
          <w:sz w:val="21"/>
          <w:szCs w:val="21"/>
        </w:rPr>
        <w:t xml:space="preserve">An RFP naming a system the buyer's own customers use — patients, constituents, members, students — usually wants an Industry Solutions offering rather than a generic custom application.</w:t>
      </w:r>
    </w:p>
    <w:p>
      <w:pPr>
        <w:pStyle w:val="ListParagraph"/>
        <w:numPr>
          <w:ilvl w:val="0"/>
          <w:numId w:val="2"/>
        </w:numPr>
        <w:spacing w:after="60" w:line="276"/>
      </w:pPr>
      <w:r>
        <w:rPr>
          <w:sz w:val="21"/>
          <w:szCs w:val="21"/>
        </w:rPr>
        <w:t xml:space="preserve">“Reporting is slow / our numbers disagree” points to Enterprise Data Warehouse when the organization needs one governed source of truth; to Business Intelligence &amp; Dashboards when the warehouse already exists and the gap is the front end; to Data Integration &amp; Pipelines when the ask is moving data rather than analysing it.</w:t>
      </w:r>
    </w:p>
    <w:p>
      <w:pPr>
        <w:pStyle w:val="ListParagraph"/>
        <w:numPr>
          <w:ilvl w:val="0"/>
          <w:numId w:val="2"/>
        </w:numPr>
        <w:spacing w:after="60" w:line="276"/>
      </w:pPr>
      <w:r>
        <w:rPr>
          <w:sz w:val="21"/>
          <w:szCs w:val="21"/>
        </w:rPr>
        <w:t xml:space="preserve">“Connect our systems” points to Enterprise Systems Integration for internal workflows, and to API Development &amp; Management when the buyer wants reusable, governed APIs for internal or partner developers.</w:t>
      </w:r>
    </w:p>
    <w:p>
      <w:pPr>
        <w:pStyle w:val="ListParagraph"/>
        <w:numPr>
          <w:ilvl w:val="0"/>
          <w:numId w:val="2"/>
        </w:numPr>
        <w:spacing w:after="60" w:line="276"/>
      </w:pPr>
      <w:r>
        <w:rPr>
          <w:sz w:val="21"/>
          <w:szCs w:val="21"/>
        </w:rPr>
        <w:t xml:space="preserve">“Replace our old system” points to Legacy Application Modernization when the existing system must keep running through the transition, and to Custom Web Application Platform for a clean-sheet build.</w:t>
      </w:r>
    </w:p>
    <w:p>
      <w:pPr>
        <w:pStyle w:val="ListParagraph"/>
        <w:numPr>
          <w:ilvl w:val="0"/>
          <w:numId w:val="2"/>
        </w:numPr>
        <w:spacing w:after="60" w:line="276"/>
      </w:pPr>
      <w:r>
        <w:rPr>
          <w:sz w:val="21"/>
          <w:szCs w:val="21"/>
        </w:rPr>
        <w:t xml:space="preserve">An RFP mostly about running software that already exists points to Application Managed Services; one mostly about assessment and hardening points to Security &amp; Compliance Services.</w:t>
      </w:r>
    </w:p>
    <w:p>
      <w:pPr>
        <w:pStyle w:val="ListParagraph"/>
        <w:numPr>
          <w:ilvl w:val="0"/>
          <w:numId w:val="2"/>
        </w:numPr>
        <w:spacing w:after="60" w:line="276"/>
      </w:pPr>
      <w:r>
        <w:rPr>
          <w:sz w:val="21"/>
          <w:szCs w:val="21"/>
        </w:rPr>
        <w:t xml:space="preserve">A large RFP can legitimately span two offerings. Lead with the primary one and present the second as a named, separately priced workstream.</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5"/>
        <w:szCs w:val="15"/>
      </w:rPr>
      <w:t xml:space="preserve">Internal reference document · fictional sample content · page </w:t>
    </w:r>
    <w:r>
      <w:rPr>
        <w:color w:val="4A556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6"/>
      </w:pBdr>
      <w:spacing w:after="120"/>
      <w:jc w:val="right"/>
    </w:pPr>
    <w:r>
      <w:rPr>
        <w:color w:val="4A5568"/>
        <w:sz w:val="16"/>
        <w:szCs w:val="16"/>
      </w:rPr>
      <w:t xml:space="preserve">Aventra Software Group · Service Catalog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2026-08-09T13:57:56.239Z</dcterms:created>
  <dcterms:modified xsi:type="dcterms:W3CDTF">2026-08-09T13:57:56.240Z</dcterms:modified>
</cp:coreProperties>
</file>

<file path=docProps/custom.xml><?xml version="1.0" encoding="utf-8"?>
<Properties xmlns="http://schemas.openxmlformats.org/officeDocument/2006/custom-properties" xmlns:vt="http://schemas.openxmlformats.org/officeDocument/2006/docPropsVTypes"/>
</file>