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D51"/>
          <w:sz w:val="17"/>
          <w:szCs w:val="17"/>
        </w:rPr>
        <w:t xml:space="preserve">OFFERING DATASHEET</w:t>
      </w:r>
    </w:p>
    <w:p>
      <w:pPr>
        <w:spacing w:after="80"/>
      </w:pPr>
      <w:r>
        <w:rPr>
          <w:b/>
          <w:bCs/>
          <w:color w:val="0B5D51"/>
          <w:sz w:val="44"/>
          <w:szCs w:val="44"/>
        </w:rPr>
        <w:t xml:space="preserve">Cloud Migration</w:t>
      </w:r>
    </w:p>
    <w:p>
      <w:pPr>
        <w:pBdr>
          <w:bottom w:val="single" w:color="DDE3EA" w:sz="6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i/>
          <w:iCs/>
          <w:color w:val="4A5568"/>
          <w:sz w:val="24"/>
          <w:szCs w:val="24"/>
        </w:rPr>
        <w:t xml:space="preserve">Move to the cloud with a plan, not a leap of faith.</w:t>
      </w:r>
    </w:p>
    <w:p>
      <w:pPr>
        <w:pBdr>
          <w:left w:val="single" w:color="C9A227" w:sz="18"/>
        </w:pBdr>
        <w:shd w:fill="FDF8E8" w:val="clear"/>
        <w:spacing w:after="160" w:before="200"/>
      </w:pPr>
      <w:r>
        <w:rPr>
          <w:i/>
          <w:iCs/>
          <w:color w:val="5C4813"/>
          <w:sz w:val="16"/>
          <w:szCs w:val="16"/>
        </w:rPr>
        <w:t xml:space="preserve">Sample content. Aventra Software Group is a fictional company used for demonstration. Every organization, figure, client, and outcome in this document is invented and does not describe any real entity or engagement.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Offering ID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cloud-migration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Product line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Cloud &amp; Platform Engineering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Best fit for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financial services, healthcare, government, manufacturing, education, retail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Compliance frameworks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SOC 2, ISO/IEC 27001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Pricing model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Fixed price per phase, invoiced on milestones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Indicative range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$200,000 – $700,000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Typical duration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 months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Scope</w:t>
      </w:r>
    </w:p>
    <w:p>
      <w:pPr>
        <w:spacing w:after="120" w:line="276"/>
      </w:pPr>
      <w:r>
        <w:rPr>
          <w:sz w:val="21"/>
          <w:szCs w:val="21"/>
        </w:rPr>
        <w:t xml:space="preserve">Assessment, planning, and execution of a migration from on-premises or legacy hosting to a modern, cost-efficient cloud environment.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Capabilities delivered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Describe these in the proposed-solution section of a response.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Migration assessment and readiness roadmap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Landing-zone and network design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Infrastructure-as-code environment build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Application migration and validation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Cost optimization and right-sizing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Cutover and rollback planning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Requirements this offering answers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If an RFP asks for these, this offering is the right match.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Move applications off on-premises or legacy hosting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Design a secure, well-architected cloud landing zone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Migrate with minimal downtime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Optimize and forecast cloud cost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Provide infrastructure-as-code for repeatability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Plan cutover and rollback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Integrations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Name the buyer's actual systems when the RFP identifies them; these are the fallback.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Existing on-prem systems during transition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identity provider (SSO)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Monitoring and cost-management tooling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Differentiators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Well-architected landing zone from day one, not retrofitted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Cost modeling so the cloud bill holds no surprises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Success measures buyers care about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Mirror these in an executive summary when the RFP states similar goals.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Applications migrated with minimal downtime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 secure, repeatable landing zone in infrastructure-as-code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Cloud cost forecasted and optimized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Approved positioning language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Adapt the wording to the buyer's own terms; keep the substance intact.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Understanding of needs</w:t>
      </w:r>
    </w:p>
    <w:p>
      <w:pPr>
        <w:spacing w:after="120" w:line="276"/>
      </w:pPr>
      <w:r>
        <w:rPr>
          <w:sz w:val="21"/>
          <w:szCs w:val="21"/>
        </w:rPr>
        <w:t xml:space="preserve">You are moving off aging on-premises or legacy hosting and need a migration that is secure, low-risk, and cost-predictable — not a leap of faith.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Proposed solution</w:t>
      </w:r>
    </w:p>
    <w:p>
      <w:pPr>
        <w:spacing w:after="120" w:line="276"/>
      </w:pPr>
      <w:r>
        <w:rPr>
          <w:sz w:val="21"/>
          <w:szCs w:val="21"/>
        </w:rPr>
        <w:t xml:space="preserve">We start with an assessment and readiness roadmap, design a well-architected landing zone, build it as infrastructure-as-code, and migrate applications in planned waves with validation, cost optimization, and rollback plans at each cutover.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5"/>
        <w:szCs w:val="15"/>
      </w:rPr>
      <w:t xml:space="preserve">Internal reference document · fictional sample content · page </w:t>
    </w:r>
    <w:r>
      <w:rPr>
        <w:color w:val="4A556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A" w:sz="6"/>
      </w:pBdr>
      <w:spacing w:after="120"/>
      <w:jc w:val="right"/>
    </w:pPr>
    <w:r>
      <w:rPr>
        <w:color w:val="4A5568"/>
        <w:sz w:val="16"/>
        <w:szCs w:val="16"/>
      </w:rPr>
      <w:t xml:space="preserve">Aventra Software Group · Offering Datasheet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2026-08-09T13:57:56.282Z</dcterms:created>
  <dcterms:modified xsi:type="dcterms:W3CDTF">2026-08-09T13:57:56.282Z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