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08</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Discrete Fourier Transform and its Inverse</w:t>
      </w:r>
    </w:p>
    <w:p>
      <w:pPr>
        <w:spacing w:after="200"/>
        <w:jc w:val="center"/>
      </w:pPr>
      <w:r>
        <w:rPr>
          <w:i/>
          <w:color w:val="404040"/>
          <w:sz w:val="23"/>
        </w:rPr>
        <w:t>The seasonal breathing of the planet in the Mauna Loa CO₂ record</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The monthly Mauna Loa CO₂ record (the Keeling Curve) was trimmed to 67 whole years (N = 804), detrended, and transformed with a DFT implemented from its definition, as a matrix product and by the FFT; the three agreed to 1e-13, the IDFT recovered the signal to 1e-12 ppm, and Parseval's theorem held to 1e-16. The spectrum consists of two clean lines at exactly 1 and 2 cycles per year (amplitudes 2.84 and 0.81 ppm) above a noise floor of about 0.016 ppm. An IDFT of these two lines alone rebuilt the seasonal cycle, which peaks in May and bottoms out in Oct (6.2 ppm peak to trough) and explains 88 % of the detrended variance; removing it reproduced NOAA's official deseasonalized series to 0.165 ppm. Cutting the record by 5 months caused leakage that lowered the annual line by 23 %, which a Hann window and zero padding largely corrected. The seasonal swing grew from 5.8 to 6.6 ppm over six decades.</w:t>
            </w:r>
          </w:p>
          <w:p>
            <w:pPr>
              <w:spacing w:after="0"/>
            </w:pPr>
            <w:r>
              <w:rPr>
                <w:b/>
                <w:i/>
                <w:sz w:val="20"/>
              </w:rPr>
              <w:t xml:space="preserve">Keywords: </w:t>
            </w:r>
            <w:r>
              <w:rPr>
                <w:i/>
                <w:sz w:val="20"/>
              </w:rPr>
              <w:t>DFT, IDFT, FFT, spectral leakage, windowing, zero padding, Parseval, frequency-domain filtering, Keeling Curve, CO₂, Python</w:t>
            </w:r>
          </w:p>
        </w:tc>
      </w:tr>
    </w:tbl>
    <w:p>
      <w:pPr>
        <w:spacing w:after="0"/>
      </w:pPr>
    </w:p>
    <w:p>
      <w:pPr>
        <w:pStyle w:val="Heading1"/>
      </w:pPr>
      <w:r>
        <w:t>1.  Aim and Objectives</w:t>
      </w:r>
    </w:p>
    <w:p>
      <w:pPr>
        <w:keepNext w:val="0"/>
        <w:spacing w:after="60"/>
        <w:jc w:val="both"/>
      </w:pPr>
      <w:r>
        <w:rPr>
          <w:b/>
        </w:rPr>
        <w:t>Aim:</w:t>
      </w:r>
      <w:r>
        <w:t xml:space="preserve"> to compute the DFT and IDFT of a real-world signal, verify their properties, and use them to analyse and filter the signal in the frequency domain, in Python.</w:t>
      </w:r>
    </w:p>
    <w:p>
      <w:pPr>
        <w:pStyle w:val="ListBullet"/>
        <w:jc w:val="both"/>
      </w:pPr>
      <w:r>
        <w:t>Implement the DFT and IDFT from the definition and as a matrix, and compare them with the FFT in accuracy and speed.</w:t>
      </w:r>
    </w:p>
    <w:p>
      <w:pPr>
        <w:pStyle w:val="ListBullet"/>
        <w:jc w:val="both"/>
      </w:pPr>
      <w:r>
        <w:t>Read frequencies, amplitudes and phases from the spectrum and understand leakage, windowing and zero padding.</w:t>
      </w:r>
    </w:p>
    <w:p>
      <w:pPr>
        <w:pStyle w:val="ListBullet"/>
        <w:jc w:val="both"/>
      </w:pPr>
      <w:r>
        <w:t>Use the IDFT to synthesise the seasonal cycle and to remove it, and validate the result against NOAA's own product.</w:t>
      </w:r>
    </w:p>
    <w:p>
      <w:pPr>
        <w:pStyle w:val="Heading1"/>
      </w:pPr>
      <w:r>
        <w:t>2.  Real-World Application</w:t>
      </w:r>
    </w:p>
    <w:p>
      <w:pPr>
        <w:keepNext w:val="0"/>
        <w:jc w:val="both"/>
      </w:pPr>
      <w:r>
        <w:t>Atmospheric CO₂ has been measured continuously on Mauna Loa, Hawaii, since 1958. The record rises every year because of fossil-fuel burning, but it also 'breathes': each northern spring and summer, forests and crops take up CO₂, and each autumn and winter decaying vegetation releases it. Climate scientists separate this seasonal cycle from the long-term rise in exactly the way done here, and the DFT is the natural tool because the cycle is a sum of sinusoids at 1, 2, ... cycles per year. The DFT and IDFT also sit at the heart of many everyday technologies (Table 1).</w:t>
      </w:r>
    </w:p>
    <w:p>
      <w:pPr>
        <w:pStyle w:val="Caption"/>
        <w:keepNext/>
        <w:spacing w:after="60" w:before="120"/>
        <w:jc w:val="center"/>
      </w:pPr>
      <w:r>
        <w:rPr>
          <w:b/>
        </w:rPr>
        <w:t xml:space="preserve">Table 1. </w:t>
      </w:r>
      <w:r>
        <w:rPr>
          <w:b/>
        </w:rPr>
        <w:t>Where the DFT and IDFT are used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Technology</w:t>
            </w:r>
          </w:p>
        </w:tc>
        <w:tc>
          <w:tcPr>
            <w:tcW w:type="dxa" w:w="6576"/>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What the DFT / IDFT does</w:t>
            </w:r>
          </w:p>
        </w:tc>
      </w:tr>
      <w:tr>
        <w:trPr>
          <w:cantSplit/>
        </w:trPr>
        <w:tc>
          <w:tcPr>
            <w:tcW w:type="dxa" w:w="3061"/>
            <w:vAlign w:val="center"/>
            <w:tcMar>
              <w:top w:w="40" w:type="dxa"/>
              <w:bottom w:w="40" w:type="dxa"/>
              <w:start w:w="90" w:type="dxa"/>
              <w:end w:w="90" w:type="dxa"/>
            </w:tcMar>
          </w:tcPr>
          <w:p>
            <w:pPr>
              <w:keepNext/>
              <w:spacing w:after="0" w:line="240" w:lineRule="auto"/>
              <w:jc w:val="left"/>
            </w:pPr>
            <w:r>
              <w:rPr>
                <w:b/>
                <w:sz w:val="18"/>
              </w:rPr>
              <w:t>Climate science (this experiment)</w:t>
            </w:r>
          </w:p>
        </w:tc>
        <w:tc>
          <w:tcPr>
            <w:tcW w:type="dxa" w:w="6576"/>
            <w:vAlign w:val="center"/>
            <w:tcMar>
              <w:top w:w="40" w:type="dxa"/>
              <w:bottom w:w="40" w:type="dxa"/>
              <w:start w:w="90" w:type="dxa"/>
              <w:end w:w="90" w:type="dxa"/>
            </w:tcMar>
          </w:tcPr>
          <w:p>
            <w:pPr>
              <w:keepNext/>
              <w:spacing w:after="0" w:line="240" w:lineRule="auto"/>
              <w:jc w:val="left"/>
            </w:pPr>
            <w:r>
              <w:rPr>
                <w:sz w:val="18"/>
              </w:rPr>
              <w:t>separates seasonal cycles from trends; seasonal adjustment of indices</w:t>
            </w:r>
          </w:p>
        </w:tc>
      </w:tr>
      <w:tr>
        <w:trPr>
          <w:cantSplit/>
        </w:trPr>
        <w:tc>
          <w:tcPr>
            <w:tcW w:type="dxa" w:w="3061"/>
            <w:vAlign w:val="center"/>
            <w:tcMar>
              <w:top w:w="40" w:type="dxa"/>
              <w:bottom w:w="40" w:type="dxa"/>
              <w:start w:w="90" w:type="dxa"/>
              <w:end w:w="90" w:type="dxa"/>
            </w:tcMar>
            <w:shd w:val="clear" w:color="auto" w:fill="F5F4F0"/>
          </w:tcPr>
          <w:p>
            <w:pPr>
              <w:keepNext/>
              <w:spacing w:after="0" w:line="240" w:lineRule="auto"/>
              <w:jc w:val="left"/>
            </w:pPr>
            <w:r>
              <w:rPr>
                <w:b/>
                <w:sz w:val="18"/>
              </w:rPr>
              <w:t>4G / 5G / Wi-Fi (OFDM)</w:t>
            </w:r>
          </w:p>
        </w:tc>
        <w:tc>
          <w:tcPr>
            <w:tcW w:type="dxa" w:w="6576"/>
            <w:vAlign w:val="center"/>
            <w:tcMar>
              <w:top w:w="40" w:type="dxa"/>
              <w:bottom w:w="40" w:type="dxa"/>
              <w:start w:w="90" w:type="dxa"/>
              <w:end w:w="90" w:type="dxa"/>
            </w:tcMar>
            <w:shd w:val="clear" w:color="auto" w:fill="F5F4F0"/>
          </w:tcPr>
          <w:p>
            <w:pPr>
              <w:keepNext/>
              <w:spacing w:after="0" w:line="240" w:lineRule="auto"/>
              <w:jc w:val="left"/>
            </w:pPr>
            <w:r>
              <w:rPr>
                <w:sz w:val="18"/>
              </w:rPr>
              <w:t>the transmitter is an IDFT and the receiver a DFT, one per symbol</w:t>
            </w:r>
          </w:p>
        </w:tc>
      </w:tr>
      <w:tr>
        <w:trPr>
          <w:cantSplit/>
        </w:trPr>
        <w:tc>
          <w:tcPr>
            <w:tcW w:type="dxa" w:w="3061"/>
            <w:vAlign w:val="center"/>
            <w:tcMar>
              <w:top w:w="40" w:type="dxa"/>
              <w:bottom w:w="40" w:type="dxa"/>
              <w:start w:w="90" w:type="dxa"/>
              <w:end w:w="90" w:type="dxa"/>
            </w:tcMar>
          </w:tcPr>
          <w:p>
            <w:pPr>
              <w:keepNext/>
              <w:spacing w:after="0" w:line="240" w:lineRule="auto"/>
              <w:jc w:val="left"/>
            </w:pPr>
            <w:r>
              <w:rPr>
                <w:b/>
                <w:sz w:val="18"/>
              </w:rPr>
              <w:t>MRI scanners</w:t>
            </w:r>
          </w:p>
        </w:tc>
        <w:tc>
          <w:tcPr>
            <w:tcW w:type="dxa" w:w="6576"/>
            <w:vAlign w:val="center"/>
            <w:tcMar>
              <w:top w:w="40" w:type="dxa"/>
              <w:bottom w:w="40" w:type="dxa"/>
              <w:start w:w="90" w:type="dxa"/>
              <w:end w:w="90" w:type="dxa"/>
            </w:tcMar>
          </w:tcPr>
          <w:p>
            <w:pPr>
              <w:keepNext/>
              <w:spacing w:after="0" w:line="240" w:lineRule="auto"/>
              <w:jc w:val="left"/>
            </w:pPr>
            <w:r>
              <w:rPr>
                <w:sz w:val="18"/>
              </w:rPr>
              <w:t>the image is the 2-D IDFT of the measured k-space data</w:t>
            </w:r>
          </w:p>
        </w:tc>
      </w:tr>
      <w:tr>
        <w:trPr>
          <w:cantSplit/>
        </w:trPr>
        <w:tc>
          <w:tcPr>
            <w:tcW w:type="dxa" w:w="3061"/>
            <w:vAlign w:val="center"/>
            <w:tcMar>
              <w:top w:w="40" w:type="dxa"/>
              <w:bottom w:w="40" w:type="dxa"/>
              <w:start w:w="90" w:type="dxa"/>
              <w:end w:w="90" w:type="dxa"/>
            </w:tcMar>
            <w:shd w:val="clear" w:color="auto" w:fill="F5F4F0"/>
          </w:tcPr>
          <w:p>
            <w:pPr>
              <w:keepNext/>
              <w:spacing w:after="0" w:line="240" w:lineRule="auto"/>
              <w:jc w:val="left"/>
            </w:pPr>
            <w:r>
              <w:rPr>
                <w:b/>
                <w:sz w:val="18"/>
              </w:rPr>
              <w:t>Audio and music apps</w:t>
            </w:r>
          </w:p>
        </w:tc>
        <w:tc>
          <w:tcPr>
            <w:tcW w:type="dxa" w:w="6576"/>
            <w:vAlign w:val="center"/>
            <w:tcMar>
              <w:top w:w="40" w:type="dxa"/>
              <w:bottom w:w="40" w:type="dxa"/>
              <w:start w:w="90" w:type="dxa"/>
              <w:end w:w="90" w:type="dxa"/>
            </w:tcMar>
            <w:shd w:val="clear" w:color="auto" w:fill="F5F4F0"/>
          </w:tcPr>
          <w:p>
            <w:pPr>
              <w:keepNext/>
              <w:spacing w:after="0" w:line="240" w:lineRule="auto"/>
              <w:jc w:val="left"/>
            </w:pPr>
            <w:r>
              <w:rPr>
                <w:sz w:val="18"/>
              </w:rPr>
              <w:t>spectrum analysers, pitch detection, MP3 / AAC compression</w:t>
            </w:r>
          </w:p>
        </w:tc>
      </w:tr>
      <w:tr>
        <w:trPr>
          <w:cantSplit/>
        </w:trPr>
        <w:tc>
          <w:tcPr>
            <w:tcW w:type="dxa" w:w="3061"/>
            <w:vAlign w:val="center"/>
            <w:tcMar>
              <w:top w:w="40" w:type="dxa"/>
              <w:bottom w:w="40" w:type="dxa"/>
              <w:start w:w="90" w:type="dxa"/>
              <w:end w:w="90" w:type="dxa"/>
            </w:tcMar>
          </w:tcPr>
          <w:p>
            <w:pPr>
              <w:spacing w:after="0" w:line="240" w:lineRule="auto"/>
              <w:jc w:val="left"/>
            </w:pPr>
            <w:r>
              <w:rPr>
                <w:b/>
                <w:sz w:val="18"/>
              </w:rPr>
              <w:t>Power-quality meters</w:t>
            </w:r>
          </w:p>
        </w:tc>
        <w:tc>
          <w:tcPr>
            <w:tcW w:type="dxa" w:w="6576"/>
            <w:vAlign w:val="center"/>
            <w:tcMar>
              <w:top w:w="40" w:type="dxa"/>
              <w:bottom w:w="40" w:type="dxa"/>
              <w:start w:w="90" w:type="dxa"/>
              <w:end w:w="90" w:type="dxa"/>
            </w:tcMar>
          </w:tcPr>
          <w:p>
            <w:pPr>
              <w:spacing w:after="0" w:line="240" w:lineRule="auto"/>
              <w:jc w:val="left"/>
            </w:pPr>
            <w:r>
              <w:rPr>
                <w:sz w:val="18"/>
              </w:rPr>
              <w:t>measure harmonics of the 50 Hz mains (IEC 61000-4-7)</w:t>
            </w:r>
          </w:p>
        </w:tc>
      </w:tr>
    </w:tbl>
    <w:p>
      <w:pPr>
        <w:spacing w:after="40"/>
      </w:pPr>
    </w:p>
    <w:p>
      <w:pPr>
        <w:pStyle w:val="Heading1"/>
      </w:pPr>
      <w:r>
        <w:t>3.  Theory</w:t>
      </w:r>
    </w:p>
    <w:p>
      <w:pPr>
        <w:keepNext w:val="0"/>
        <w:jc w:val="both"/>
      </w:pPr>
      <w:r>
        <w:t xml:space="preserve">The </w:t>
      </w:r>
      <w:r>
        <w:rPr>
          <w:b/>
        </w:rPr>
        <w:t>discrete Fourier transform</w:t>
      </w:r>
      <w:r>
        <w:t xml:space="preserve"> of an </w:t>
      </w:r>
      <m:oMath xmlns:mml="http://www.w3.org/1998/Math/MathML">
        <m:r>
          <m:t>N</m:t>
        </m:r>
      </m:oMath>
      <w:r>
        <w:t xml:space="preserve">-point sequence </w:t>
      </w:r>
      <m:oMath xmlns:mml="http://www.w3.org/1998/Math/MathML">
        <m:r>
          <m:t>x[n]</m:t>
        </m:r>
      </m:oMath>
      <w:r>
        <w:t xml:space="preserve"> and its </w:t>
      </w:r>
      <w:r>
        <w:rPr>
          <w:b/>
        </w:rPr>
        <w:t>inverse</w:t>
      </w:r>
      <w:r>
        <w:t xml:space="preserve"> are</w:t>
      </w:r>
    </w:p>
    <w:p>
      <w:pPr>
        <w:tabs>
          <w:tab w:pos="4819" w:val="center"/>
          <w:tab w:pos="9638" w:val="right"/>
        </w:tabs>
        <w:spacing w:before="60" w:after="120"/>
      </w:pPr>
      <w:r>
        <w:tab/>
      </w:r>
      <m:oMath xmlns:mml="http://www.w3.org/1998/Math/MathML">
        <m:r>
          <m:t>X[k]=</m:t>
        </m:r>
        <m:nary>
          <m:naryPr>
            <m:chr m:val="∑"/>
            <m:limLoc m:val="undOvr"/>
            <m:grow m:val="1"/>
            <m:subHide m:val="off"/>
            <m:supHide m:val="off"/>
          </m:naryPr>
          <m:sub>
            <m:r>
              <m:t>n=0</m:t>
            </m:r>
          </m:sub>
          <m:sup>
            <m:r>
              <m:t>N−1</m:t>
            </m:r>
          </m:sup>
          <m:e/>
        </m:nary>
        <m:r>
          <m:t>x[n]</m:t>
        </m:r>
        <m:r>
          <m:rPr>
            <m:nor/>
          </m:rPr>
          <m:t> </m:t>
        </m:r>
        <m:sSup>
          <m:e>
            <m:r>
              <m:t>e</m:t>
            </m:r>
          </m:e>
          <m:sup>
            <m:r>
              <m:t>−j2πkn/N</m:t>
            </m:r>
          </m:sup>
        </m:sSup>
        <m:r>
          <m:t>,</m:t>
        </m:r>
        <m:r>
          <m:rPr>
            <m:nor/>
          </m:rPr>
          <m:t>  </m:t>
        </m:r>
        <m:r>
          <m:t>x[n]=</m:t>
        </m:r>
        <m:f>
          <m:fPr>
            <m:type m:val="bar"/>
          </m:fPr>
          <m:num>
            <m:r>
              <m:t>1</m:t>
            </m:r>
          </m:num>
          <m:den>
            <m:r>
              <m:t>N</m:t>
            </m:r>
          </m:den>
        </m:f>
        <m:nary>
          <m:naryPr>
            <m:chr m:val="∑"/>
            <m:limLoc m:val="undOvr"/>
            <m:grow m:val="1"/>
            <m:subHide m:val="off"/>
            <m:supHide m:val="off"/>
          </m:naryPr>
          <m:sub>
            <m:r>
              <m:t>k=0</m:t>
            </m:r>
          </m:sub>
          <m:sup>
            <m:r>
              <m:t>N−1</m:t>
            </m:r>
          </m:sup>
          <m:e/>
        </m:nary>
        <m:r>
          <m:t>X[k]</m:t>
        </m:r>
        <m:r>
          <m:rPr>
            <m:nor/>
          </m:rPr>
          <m:t> </m:t>
        </m:r>
        <m:sSup>
          <m:e>
            <m:r>
              <m:t>e</m:t>
            </m:r>
          </m:e>
          <m:sup>
            <m:r>
              <m:t>j2πkn/N</m:t>
            </m:r>
          </m:sup>
        </m:sSup>
      </m:oMath>
      <w:r>
        <w:tab/>
        <w:t>(1)</w:t>
      </w:r>
    </w:p>
    <w:p>
      <w:pPr>
        <w:keepNext w:val="0"/>
        <w:jc w:val="both"/>
      </w:pPr>
      <w:r>
        <w:t xml:space="preserve">for </w:t>
      </w:r>
      <m:oMath xmlns:mml="http://www.w3.org/1998/Math/MathML">
        <m:r>
          <m:t>k,n=0,…,N−1</m:t>
        </m:r>
      </m:oMath>
      <w:r>
        <w:t xml:space="preserve">. Collecting the twiddle factors </w:t>
      </w:r>
      <m:oMath xmlns:mml="http://www.w3.org/1998/Math/MathML">
        <m:sSubSup>
          <m:e>
            <m:r>
              <m:t>W</m:t>
            </m:r>
          </m:e>
          <m:sub>
            <m:r>
              <m:t>N</m:t>
            </m:r>
          </m:sub>
          <m:sup>
            <m:r>
              <m:t>kn</m:t>
            </m:r>
          </m:sup>
        </m:sSubSup>
        <m:r>
          <m:t>=</m:t>
        </m:r>
        <m:sSup>
          <m:e>
            <m:r>
              <m:t>e</m:t>
            </m:r>
          </m:e>
          <m:sup>
            <m:r>
              <m:t>−j2πkn/N</m:t>
            </m:r>
          </m:sup>
        </m:sSup>
      </m:oMath>
      <w:r>
        <w:t xml:space="preserve"> in an </w:t>
      </w:r>
      <m:oMath xmlns:mml="http://www.w3.org/1998/Math/MathML">
        <m:r>
          <m:t>N×N</m:t>
        </m:r>
      </m:oMath>
      <w:r>
        <w:t xml:space="preserve"> matrix gives the matrix form, whose inverse is its scaled conjugate:</w:t>
      </w:r>
    </w:p>
    <w:p>
      <w:pPr>
        <w:tabs>
          <w:tab w:pos="4819" w:val="center"/>
          <w:tab w:pos="9638" w:val="right"/>
        </w:tabs>
        <w:spacing w:before="60" w:after="120"/>
      </w:pPr>
      <w:r>
        <w:tab/>
      </w:r>
      <m:oMath xmlns:mml="http://www.w3.org/1998/Math/MathML">
        <m:r>
          <m:t>𝐗=𝐖𝐱,</m:t>
        </m:r>
        <m:r>
          <m:rPr>
            <m:nor/>
          </m:rPr>
          <m:t>  </m:t>
        </m:r>
        <m:sSup>
          <m:e>
            <m:r>
              <m:t>𝐖</m:t>
            </m:r>
          </m:e>
          <m:sup>
            <m:r>
              <m:t>−1</m:t>
            </m:r>
          </m:sup>
        </m:sSup>
        <m:r>
          <m:t>=</m:t>
        </m:r>
        <m:f>
          <m:fPr>
            <m:type m:val="bar"/>
          </m:fPr>
          <m:num>
            <m:r>
              <m:t>1</m:t>
            </m:r>
          </m:num>
          <m:den>
            <m:r>
              <m:t>N</m:t>
            </m:r>
          </m:den>
        </m:f>
        <m:sSup>
          <m:e>
            <m:r>
              <m:t>𝐖</m:t>
            </m:r>
          </m:e>
          <m:sup>
            <m:r>
              <m:t>*</m:t>
            </m:r>
          </m:sup>
        </m:sSup>
      </m:oMath>
      <w:r>
        <w:tab/>
        <w:t>(2)</w:t>
      </w:r>
    </w:p>
    <w:p>
      <w:pPr>
        <w:keepNext w:val="0"/>
        <w:jc w:val="both"/>
      </w:pPr>
      <w:r>
        <w:t xml:space="preserve">Bin </w:t>
      </w:r>
      <m:oMath xmlns:mml="http://www.w3.org/1998/Math/MathML">
        <m:r>
          <m:t>k</m:t>
        </m:r>
      </m:oMath>
      <w:r>
        <w:t xml:space="preserve"> corresponds to frequency </w:t>
      </w:r>
      <m:oMath xmlns:mml="http://www.w3.org/1998/Math/MathML">
        <m:sSub>
          <m:e>
            <m:r>
              <m:t>f</m:t>
            </m:r>
          </m:e>
          <m:sub>
            <m:r>
              <m:t>k</m:t>
            </m:r>
          </m:sub>
        </m:sSub>
        <m:r>
          <m:t>=k</m:t>
        </m:r>
        <m:sSub>
          <m:e>
            <m:r>
              <m:t>f</m:t>
            </m:r>
          </m:e>
          <m:sub>
            <m:r>
              <m:t>s</m:t>
            </m:r>
          </m:sub>
        </m:sSub>
        <m:r>
          <m:t>/N</m:t>
        </m:r>
      </m:oMath>
      <w:r>
        <w:t xml:space="preserve">, so the resolution is </w:t>
      </w:r>
      <m:oMath xmlns:mml="http://www.w3.org/1998/Math/MathML">
        <m:f>
          <m:fPr>
            <m:type m:val="lin"/>
          </m:fPr>
          <m:num>
            <m:sSub>
              <m:e>
                <m:r>
                  <m:t>f</m:t>
                </m:r>
              </m:e>
              <m:sub>
                <m:r>
                  <m:t>s</m:t>
                </m:r>
              </m:sub>
            </m:sSub>
          </m:num>
          <m:den>
            <m:r>
              <m:t>N</m:t>
            </m:r>
          </m:den>
        </m:f>
      </m:oMath>
      <w:r>
        <w:t xml:space="preserve">. For a real signal a sinusoid </w:t>
      </w:r>
      <m:oMath xmlns:mml="http://www.w3.org/1998/Math/MathML">
        <m:r>
          <m:t>A</m:t>
        </m:r>
        <m:r>
          <m:rPr>
            <m:sty m:val="p"/>
          </m:rPr>
          <m:t>cos</m:t>
        </m:r>
        <m:r>
          <m:t>(2π</m:t>
        </m:r>
        <m:sSub>
          <m:e>
            <m:r>
              <m:t>k</m:t>
            </m:r>
          </m:e>
          <m:sub>
            <m:r>
              <m:t>0</m:t>
            </m:r>
          </m:sub>
        </m:sSub>
        <m:r>
          <m:t>n/N+ϕ)</m:t>
        </m:r>
      </m:oMath>
      <w:r>
        <w:t xml:space="preserve"> appears in bins </w:t>
      </w:r>
      <m:oMath xmlns:mml="http://www.w3.org/1998/Math/MathML">
        <m:sSub>
          <m:e>
            <m:r>
              <m:t>k</m:t>
            </m:r>
          </m:e>
          <m:sub>
            <m:r>
              <m:t>0</m:t>
            </m:r>
          </m:sub>
        </m:sSub>
      </m:oMath>
      <w:r>
        <w:t xml:space="preserve"> and </w:t>
      </w:r>
      <m:oMath xmlns:mml="http://www.w3.org/1998/Math/MathML">
        <m:r>
          <m:t>N−</m:t>
        </m:r>
        <m:sSub>
          <m:e>
            <m:r>
              <m:t>k</m:t>
            </m:r>
          </m:e>
          <m:sub>
            <m:r>
              <m:t>0</m:t>
            </m:r>
          </m:sub>
        </m:sSub>
      </m:oMath>
      <w:r>
        <w:t>, from which its amplitude and phase are read:</w:t>
      </w:r>
    </w:p>
    <w:p>
      <w:pPr>
        <w:tabs>
          <w:tab w:pos="4819" w:val="center"/>
          <w:tab w:pos="9638" w:val="right"/>
        </w:tabs>
        <w:spacing w:before="60" w:after="120"/>
      </w:pPr>
      <w:r>
        <w:tab/>
      </w:r>
      <m:oMath xmlns:mml="http://www.w3.org/1998/Math/MathML">
        <m:sSub>
          <m:e>
            <m:r>
              <m:t>f</m:t>
            </m:r>
          </m:e>
          <m:sub>
            <m:r>
              <m:t>k</m:t>
            </m:r>
          </m:sub>
        </m:sSub>
        <m:r>
          <m:t>=</m:t>
        </m:r>
        <m:f>
          <m:fPr>
            <m:type m:val="bar"/>
          </m:fPr>
          <m:num>
            <m:r>
              <m:t>k</m:t>
            </m:r>
            <m:sSub>
              <m:e>
                <m:r>
                  <m:t>f</m:t>
                </m:r>
              </m:e>
              <m:sub>
                <m:r>
                  <m:t>s</m:t>
                </m:r>
              </m:sub>
            </m:sSub>
          </m:num>
          <m:den>
            <m:r>
              <m:t>N</m:t>
            </m:r>
          </m:den>
        </m:f>
        <m:r>
          <m:t>,</m:t>
        </m:r>
        <m:r>
          <m:rPr>
            <m:nor/>
          </m:rPr>
          <m:t>  </m:t>
        </m:r>
        <m:r>
          <m:t>A=</m:t>
        </m:r>
        <m:f>
          <m:fPr>
            <m:type m:val="bar"/>
          </m:fPr>
          <m:num>
            <m:r>
              <m:t>2</m:t>
            </m:r>
            <m:r>
              <m:t>|X[</m:t>
            </m:r>
            <m:sSub>
              <m:e>
                <m:r>
                  <m:t>k</m:t>
                </m:r>
              </m:e>
              <m:sub>
                <m:r>
                  <m:t>0</m:t>
                </m:r>
              </m:sub>
            </m:sSub>
            <m:r>
              <m:t>]|</m:t>
            </m:r>
          </m:num>
          <m:den>
            <m:r>
              <m:t>N</m:t>
            </m:r>
          </m:den>
        </m:f>
        <m:r>
          <m:t>,</m:t>
        </m:r>
        <m:r>
          <m:rPr>
            <m:nor/>
          </m:rPr>
          <m:t>  </m:t>
        </m:r>
        <m:r>
          <m:t>ϕ=∠X[</m:t>
        </m:r>
        <m:sSub>
          <m:e>
            <m:r>
              <m:t>k</m:t>
            </m:r>
          </m:e>
          <m:sub>
            <m:r>
              <m:t>0</m:t>
            </m:r>
          </m:sub>
        </m:sSub>
        <m:r>
          <m:t>]</m:t>
        </m:r>
      </m:oMath>
      <w:r>
        <w:tab/>
        <w:t>(3)</w:t>
      </w:r>
    </w:p>
    <w:p>
      <w:pPr>
        <w:keepNext w:val="0"/>
        <w:jc w:val="both"/>
      </w:pPr>
      <w:r>
        <w:t>Two properties are checked numerically: energy is preserved (Parseval) and the spectrum of a real signal is conjugate-symmetric, so only bins 0 to N/2 carry information:</w:t>
      </w:r>
    </w:p>
    <w:p>
      <w:pPr>
        <w:tabs>
          <w:tab w:pos="4819" w:val="center"/>
          <w:tab w:pos="9638" w:val="right"/>
        </w:tabs>
        <w:spacing w:before="60" w:after="120"/>
      </w:pPr>
      <w:r>
        <w:tab/>
      </w:r>
      <m:oMath xmlns:mml="http://www.w3.org/1998/Math/MathML">
        <m:nary>
          <m:naryPr>
            <m:chr m:val="∑"/>
            <m:limLoc m:val="undOvr"/>
            <m:grow m:val="1"/>
            <m:subHide m:val="off"/>
            <m:supHide m:val="off"/>
          </m:naryPr>
          <m:sub>
            <m:r>
              <m:t>n=0</m:t>
            </m:r>
          </m:sub>
          <m:sup>
            <m:r>
              <m:t>N−1</m:t>
            </m:r>
          </m:sup>
          <m:e/>
        </m:nary>
        <m:sSup>
          <m:e>
            <m:r>
              <m:t>|x[n]|</m:t>
            </m:r>
          </m:e>
          <m:sup>
            <m:r>
              <m:t>2</m:t>
            </m:r>
          </m:sup>
        </m:sSup>
        <m:r>
          <m:t>=</m:t>
        </m:r>
        <m:f>
          <m:fPr>
            <m:type m:val="bar"/>
          </m:fPr>
          <m:num>
            <m:r>
              <m:t>1</m:t>
            </m:r>
          </m:num>
          <m:den>
            <m:r>
              <m:t>N</m:t>
            </m:r>
          </m:den>
        </m:f>
        <m:nary>
          <m:naryPr>
            <m:chr m:val="∑"/>
            <m:limLoc m:val="undOvr"/>
            <m:grow m:val="1"/>
            <m:subHide m:val="off"/>
            <m:supHide m:val="off"/>
          </m:naryPr>
          <m:sub>
            <m:r>
              <m:t>k=0</m:t>
            </m:r>
          </m:sub>
          <m:sup>
            <m:r>
              <m:t>N−1</m:t>
            </m:r>
          </m:sup>
          <m:e/>
        </m:nary>
        <m:sSup>
          <m:e>
            <m:r>
              <m:t>|X[k]|</m:t>
            </m:r>
          </m:e>
          <m:sup>
            <m:r>
              <m:t>2</m:t>
            </m:r>
          </m:sup>
        </m:sSup>
        <m:r>
          <m:t>,</m:t>
        </m:r>
        <m:r>
          <m:rPr>
            <m:nor/>
          </m:rPr>
          <m:t>  </m:t>
        </m:r>
        <m:r>
          <m:t>X[N−k]=</m:t>
        </m:r>
        <m:sSup>
          <m:e>
            <m:r>
              <m:t>X</m:t>
            </m:r>
          </m:e>
          <m:sup>
            <m:r>
              <m:t>*</m:t>
            </m:r>
          </m:sup>
        </m:sSup>
        <m:r>
          <m:t>[k]</m:t>
        </m:r>
      </m:oMath>
      <w:r>
        <w:tab/>
        <w:t>(4)</w:t>
      </w:r>
    </w:p>
    <w:p>
      <w:pPr>
        <w:keepNext w:val="0"/>
        <w:jc w:val="both"/>
      </w:pPr>
      <w:r>
        <w:rPr>
          <w:b/>
        </w:rPr>
        <w:t>Leakage.</w:t>
      </w:r>
      <w:r>
        <w:t xml:space="preserve"> The DFT implicitly repeats the N samples periodically. If a sinusoid does not complete a whole number of cycles in N samples, the repetition has a jump and the line spreads into neighbouring bins. A tapering window such as the Hann window reduces the spread, and zero padding to </w:t>
      </w:r>
      <m:oMath xmlns:mml="http://www.w3.org/1998/Math/MathML">
        <m:r>
          <m:t>PN</m:t>
        </m:r>
      </m:oMath>
      <w:r>
        <w:t xml:space="preserve"> points samples the same spectrum more finely without adding resolution:</w:t>
      </w:r>
    </w:p>
    <w:p>
      <w:pPr>
        <w:tabs>
          <w:tab w:pos="4819" w:val="center"/>
          <w:tab w:pos="9638" w:val="right"/>
        </w:tabs>
        <w:spacing w:before="60" w:after="120"/>
      </w:pPr>
      <w:r>
        <w:tab/>
      </w:r>
      <m:oMath xmlns:mml="http://www.w3.org/1998/Math/MathML">
        <m:r>
          <m:t>w[n]=</m:t>
        </m:r>
        <m:f>
          <m:fPr>
            <m:type m:val="bar"/>
          </m:fPr>
          <m:num>
            <m:r>
              <m:t>1</m:t>
            </m:r>
          </m:num>
          <m:den>
            <m:r>
              <m:t>2</m:t>
            </m:r>
          </m:den>
        </m:f>
        <m:r>
          <m:t>−</m:t>
        </m:r>
        <m:f>
          <m:fPr>
            <m:type m:val="bar"/>
          </m:fPr>
          <m:num>
            <m:r>
              <m:t>1</m:t>
            </m:r>
          </m:num>
          <m:den>
            <m:r>
              <m:t>2</m:t>
            </m:r>
          </m:den>
        </m:f>
        <m:r>
          <m:rPr>
            <m:sty m:val="p"/>
          </m:rPr>
          <m:t>cos</m:t>
        </m:r>
        <m:f>
          <m:fPr>
            <m:type m:val="bar"/>
          </m:fPr>
          <m:num>
            <m:r>
              <m:t>2πn</m:t>
            </m:r>
          </m:num>
          <m:den>
            <m:r>
              <m:t>N</m:t>
            </m:r>
          </m:den>
        </m:f>
        <m:r>
          <m:t>,</m:t>
        </m:r>
        <m:r>
          <m:rPr>
            <m:nor/>
          </m:rPr>
          <m:t>  </m:t>
        </m:r>
        <m:sSub>
          <m:e>
            <m:r>
              <m:t>X</m:t>
            </m:r>
          </m:e>
          <m:sub>
            <m:r>
              <m:t>pad</m:t>
            </m:r>
          </m:sub>
        </m:sSub>
        <m:r>
          <m:t>[k]=</m:t>
        </m:r>
        <m:nary>
          <m:naryPr>
            <m:chr m:val="∑"/>
            <m:limLoc m:val="undOvr"/>
            <m:grow m:val="1"/>
            <m:subHide m:val="off"/>
            <m:supHide m:val="off"/>
          </m:naryPr>
          <m:sub>
            <m:r>
              <m:t>n=0</m:t>
            </m:r>
          </m:sub>
          <m:sup>
            <m:r>
              <m:t>N−1</m:t>
            </m:r>
          </m:sup>
          <m:e/>
        </m:nary>
        <m:r>
          <m:t>x[n]</m:t>
        </m:r>
        <m:r>
          <m:rPr>
            <m:nor/>
          </m:rPr>
          <m:t> </m:t>
        </m:r>
        <m:r>
          <m:t>w[n]</m:t>
        </m:r>
        <m:r>
          <m:rPr>
            <m:nor/>
          </m:rPr>
          <m:t> </m:t>
        </m:r>
        <m:sSup>
          <m:e>
            <m:r>
              <m:t>e</m:t>
            </m:r>
          </m:e>
          <m:sup>
            <m:r>
              <m:t>−j2πkn/(PN)</m:t>
            </m:r>
          </m:sup>
        </m:sSup>
      </m:oMath>
      <w:r>
        <w:tab/>
        <w:t>(5)</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Direct evaluation of Eq. 1 needs N² complex multiplications; the fast Fourier transform (FFT) computes exactly the same numbers in about N log₂ N by reusing partial sums. It is fastest when N has only small prime factors.</w:t>
            </w:r>
          </w:p>
        </w:tc>
      </w:tr>
    </w:tbl>
    <w:p>
      <w:pPr>
        <w:spacing w:after="40"/>
      </w:pPr>
    </w:p>
    <w:p>
      <w:pPr>
        <w:pStyle w:val="Heading1"/>
      </w:pPr>
      <w:r>
        <w:t>4.  Dataset Description</w:t>
      </w:r>
    </w:p>
    <w:p>
      <w:pPr>
        <w:keepNext w:val="0"/>
        <w:jc w:val="both"/>
      </w:pPr>
      <w:r>
        <w:t xml:space="preserve">The </w:t>
      </w:r>
      <w:r>
        <w:rPr>
          <w:b/>
        </w:rPr>
        <w:t>Mauna Loa monthly mean CO₂</w:t>
      </w:r>
      <w:r>
        <w:t xml:space="preserve"> record is published by the NOAA Global Monitoring Laboratory (in cooperation with Scripps Institution of Oceanography, which began it under C. D. Keeling). Values are dry-air mole fractions in parts per million (ppm). The CSV is 38 kB, freely downloadable and cached. It runs from 1958-03 to 2026-09 (823 months); NOAA also supplies a deseasonalized column, used here only as an independent check. For the DFT the record is trimmed to 1959-01 to 2025-12: N = 804 months = 67 whole years, so that 1 cycle per year falls exactly on bin k = 67.</w:t>
      </w:r>
    </w:p>
    <w:p>
      <w:pPr>
        <w:pStyle w:val="Caption"/>
        <w:keepNext/>
        <w:spacing w:after="60" w:before="120"/>
        <w:jc w:val="center"/>
      </w:pPr>
      <w:r>
        <w:rPr>
          <w:b/>
        </w:rPr>
        <w:t xml:space="preserve">Table 2.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94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Provider</w:t>
            </w:r>
          </w:p>
        </w:tc>
        <w:tc>
          <w:tcPr>
            <w:tcW w:type="dxa" w:w="2835"/>
            <w:vAlign w:val="center"/>
            <w:tcMar>
              <w:top w:w="40" w:type="dxa"/>
              <w:bottom w:w="40" w:type="dxa"/>
              <w:start w:w="90" w:type="dxa"/>
              <w:end w:w="90" w:type="dxa"/>
            </w:tcMar>
          </w:tcPr>
          <w:p>
            <w:pPr>
              <w:keepNext/>
              <w:spacing w:after="0" w:line="240" w:lineRule="auto"/>
              <w:jc w:val="left"/>
            </w:pPr>
            <w:r>
              <w:rPr>
                <w:sz w:val="17"/>
              </w:rPr>
              <w:t>NOAA GML / Scripps</w:t>
            </w:r>
          </w:p>
        </w:tc>
        <w:tc>
          <w:tcPr>
            <w:tcW w:type="dxa" w:w="2041"/>
            <w:vAlign w:val="center"/>
            <w:tcMar>
              <w:top w:w="40" w:type="dxa"/>
              <w:bottom w:w="40" w:type="dxa"/>
              <w:start w:w="90" w:type="dxa"/>
              <w:end w:w="90" w:type="dxa"/>
            </w:tcMar>
          </w:tcPr>
          <w:p>
            <w:pPr>
              <w:keepNext/>
              <w:spacing w:after="0" w:line="240" w:lineRule="auto"/>
              <w:jc w:val="left"/>
            </w:pPr>
            <w:r>
              <w:rPr>
                <w:sz w:val="17"/>
              </w:rPr>
              <w:t>Station</w:t>
            </w:r>
          </w:p>
        </w:tc>
        <w:tc>
          <w:tcPr>
            <w:tcW w:type="dxa" w:w="2948"/>
            <w:vAlign w:val="center"/>
            <w:tcMar>
              <w:top w:w="40" w:type="dxa"/>
              <w:bottom w:w="40" w:type="dxa"/>
              <w:start w:w="90" w:type="dxa"/>
              <w:end w:w="90" w:type="dxa"/>
            </w:tcMar>
          </w:tcPr>
          <w:p>
            <w:pPr>
              <w:keepNext/>
              <w:spacing w:after="0" w:line="240" w:lineRule="auto"/>
              <w:jc w:val="left"/>
            </w:pPr>
            <w:r>
              <w:rPr>
                <w:sz w:val="17"/>
              </w:rPr>
              <w:t>Mauna Loa Observatory, Hawaii (3,397 m)</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Full record</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1958-03 to 2026-09</w:t>
            </w:r>
          </w:p>
        </w:tc>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DFT record</w:t>
            </w:r>
          </w:p>
        </w:tc>
        <w:tc>
          <w:tcPr>
            <w:tcW w:type="dxa" w:w="2948"/>
            <w:vAlign w:val="center"/>
            <w:tcMar>
              <w:top w:w="40" w:type="dxa"/>
              <w:bottom w:w="40" w:type="dxa"/>
              <w:start w:w="90" w:type="dxa"/>
              <w:end w:w="90" w:type="dxa"/>
            </w:tcMar>
            <w:shd w:val="clear" w:color="auto" w:fill="F5F4F0"/>
          </w:tcPr>
          <w:p>
            <w:pPr>
              <w:keepNext/>
              <w:spacing w:after="0" w:line="240" w:lineRule="auto"/>
              <w:jc w:val="left"/>
            </w:pPr>
            <w:r>
              <w:rPr>
                <w:sz w:val="17"/>
              </w:rPr>
              <w:t>1959-01 to 2025-12, N = 804</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Range</w:t>
            </w:r>
          </w:p>
        </w:tc>
        <w:tc>
          <w:tcPr>
            <w:tcW w:type="dxa" w:w="2835"/>
            <w:vAlign w:val="center"/>
            <w:tcMar>
              <w:top w:w="40" w:type="dxa"/>
              <w:bottom w:w="40" w:type="dxa"/>
              <w:start w:w="90" w:type="dxa"/>
              <w:end w:w="90" w:type="dxa"/>
            </w:tcMar>
          </w:tcPr>
          <w:p>
            <w:pPr>
              <w:keepNext/>
              <w:spacing w:after="0" w:line="240" w:lineRule="auto"/>
              <w:jc w:val="left"/>
            </w:pPr>
            <w:r>
              <w:rPr>
                <w:sz w:val="17"/>
              </w:rPr>
              <w:t>312.42 to 432.34 ppm</w:t>
            </w:r>
          </w:p>
        </w:tc>
        <w:tc>
          <w:tcPr>
            <w:tcW w:type="dxa" w:w="2041"/>
            <w:vAlign w:val="center"/>
            <w:tcMar>
              <w:top w:w="40" w:type="dxa"/>
              <w:bottom w:w="40" w:type="dxa"/>
              <w:start w:w="90" w:type="dxa"/>
              <w:end w:w="90" w:type="dxa"/>
            </w:tcMar>
          </w:tcPr>
          <w:p>
            <w:pPr>
              <w:keepNext/>
              <w:spacing w:after="0" w:line="240" w:lineRule="auto"/>
              <w:jc w:val="left"/>
            </w:pPr>
            <w:r>
              <w:rPr>
                <w:sz w:val="17"/>
              </w:rPr>
              <w:t>Sampling</w:t>
            </w:r>
          </w:p>
        </w:tc>
        <w:tc>
          <w:tcPr>
            <w:tcW w:type="dxa" w:w="2948"/>
            <w:vAlign w:val="center"/>
            <w:tcMar>
              <w:top w:w="40" w:type="dxa"/>
              <w:bottom w:w="40" w:type="dxa"/>
              <w:start w:w="90" w:type="dxa"/>
              <w:end w:w="90" w:type="dxa"/>
            </w:tcMar>
          </w:tcPr>
          <w:p>
            <w:pPr>
              <w:keepNext/>
              <w:spacing w:after="0" w:line="240" w:lineRule="auto"/>
              <w:jc w:val="left"/>
            </w:pPr>
            <w:r>
              <w:rPr>
                <w:sz w:val="17"/>
              </w:rPr>
              <w:t>fs = 12 per year (monthly)</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Resolution fs/N</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0.0149 cycles/year</w:t>
            </w:r>
          </w:p>
        </w:tc>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Nyquist frequency</w:t>
            </w:r>
          </w:p>
        </w:tc>
        <w:tc>
          <w:tcPr>
            <w:tcW w:type="dxa" w:w="2948"/>
            <w:vAlign w:val="center"/>
            <w:tcMar>
              <w:top w:w="40" w:type="dxa"/>
              <w:bottom w:w="40" w:type="dxa"/>
              <w:start w:w="90" w:type="dxa"/>
              <w:end w:w="90" w:type="dxa"/>
            </w:tcMar>
            <w:shd w:val="clear" w:color="auto" w:fill="F5F4F0"/>
          </w:tcPr>
          <w:p>
            <w:pPr>
              <w:keepNext/>
              <w:spacing w:after="0" w:line="240" w:lineRule="auto"/>
              <w:jc w:val="left"/>
            </w:pPr>
            <w:r>
              <w:rPr>
                <w:sz w:val="17"/>
              </w:rPr>
              <w:t>6 cycles per year</w:t>
            </w:r>
          </w:p>
        </w:tc>
      </w:tr>
      <w:tr>
        <w:trPr>
          <w:cantSplit/>
        </w:trPr>
        <w:tc>
          <w:tcPr>
            <w:tcW w:type="dxa" w:w="1814"/>
            <w:vAlign w:val="center"/>
            <w:tcMar>
              <w:top w:w="40" w:type="dxa"/>
              <w:bottom w:w="40" w:type="dxa"/>
              <w:start w:w="90" w:type="dxa"/>
              <w:end w:w="90" w:type="dxa"/>
            </w:tcMar>
          </w:tcPr>
          <w:p>
            <w:pPr>
              <w:spacing w:after="0" w:line="240" w:lineRule="auto"/>
              <w:jc w:val="left"/>
            </w:pPr>
            <w:r>
              <w:rPr>
                <w:sz w:val="17"/>
              </w:rPr>
              <w:t>Columns used</w:t>
            </w:r>
          </w:p>
        </w:tc>
        <w:tc>
          <w:tcPr>
            <w:tcW w:type="dxa" w:w="2835"/>
            <w:vAlign w:val="center"/>
            <w:tcMar>
              <w:top w:w="40" w:type="dxa"/>
              <w:bottom w:w="40" w:type="dxa"/>
              <w:start w:w="90" w:type="dxa"/>
              <w:end w:w="90" w:type="dxa"/>
            </w:tcMar>
          </w:tcPr>
          <w:p>
            <w:pPr>
              <w:spacing w:after="0" w:line="240" w:lineRule="auto"/>
              <w:jc w:val="left"/>
            </w:pPr>
            <w:r>
              <w:rPr>
                <w:sz w:val="17"/>
              </w:rPr>
              <w:t>year, month, average, deseasonalized</w:t>
            </w:r>
          </w:p>
        </w:tc>
        <w:tc>
          <w:tcPr>
            <w:tcW w:type="dxa" w:w="2041"/>
            <w:vAlign w:val="center"/>
            <w:tcMar>
              <w:top w:w="40" w:type="dxa"/>
              <w:bottom w:w="40" w:type="dxa"/>
              <w:start w:w="90" w:type="dxa"/>
              <w:end w:w="90" w:type="dxa"/>
            </w:tcMar>
          </w:tcPr>
          <w:p>
            <w:pPr>
              <w:spacing w:after="0" w:line="240" w:lineRule="auto"/>
              <w:jc w:val="left"/>
            </w:pPr>
            <w:r>
              <w:rPr>
                <w:sz w:val="17"/>
              </w:rPr>
              <w:t>Months without day count</w:t>
            </w:r>
          </w:p>
        </w:tc>
        <w:tc>
          <w:tcPr>
            <w:tcW w:type="dxa" w:w="2948"/>
            <w:vAlign w:val="center"/>
            <w:tcMar>
              <w:top w:w="40" w:type="dxa"/>
              <w:bottom w:w="40" w:type="dxa"/>
              <w:start w:w="90" w:type="dxa"/>
              <w:end w:w="90" w:type="dxa"/>
            </w:tcMar>
          </w:tcPr>
          <w:p>
            <w:pPr>
              <w:spacing w:after="0" w:line="240" w:lineRule="auto"/>
              <w:jc w:val="left"/>
            </w:pPr>
            <w:r>
              <w:rPr>
                <w:sz w:val="17"/>
              </w:rPr>
              <w:t>195 (early record)</w:t>
            </w:r>
          </w:p>
        </w:tc>
      </w:tr>
    </w:tbl>
    <w:p>
      <w:pPr>
        <w:spacing w:after="40"/>
      </w:pPr>
    </w:p>
    <w:p>
      <w:pPr>
        <w:pStyle w:val="Caption"/>
        <w:keepNext/>
        <w:spacing w:after="60" w:before="120"/>
        <w:jc w:val="center"/>
      </w:pPr>
      <w:r>
        <w:rPr>
          <w:b/>
        </w:rPr>
        <w:t xml:space="preserve">Table 3. </w:t>
      </w:r>
      <w:r>
        <w:rPr>
          <w:b/>
        </w:rPr>
        <w:t>Last six samples of the DFT record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377"/>
        <w:gridCol w:w="1377"/>
        <w:gridCol w:w="1377"/>
        <w:gridCol w:w="1377"/>
        <w:gridCol w:w="1377"/>
        <w:gridCol w:w="1377"/>
        <w:gridCol w:w="1377"/>
      </w:tblGrid>
      <w:tr>
        <w:trPr>
          <w:cantSplit/>
          <w:tblHeader w:val="true"/>
        </w:trPr>
        <w:tc>
          <w:tcPr>
            <w:tcW w:type="dxa" w:w="90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Year</w:t>
            </w:r>
          </w:p>
        </w:tc>
        <w:tc>
          <w:tcPr>
            <w:tcW w:type="dxa" w:w="79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Month</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Decimal year</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CO₂ (ppm)</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NOAA deseasonalized</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Trend</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Detrended r[n]</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2025</w:t>
            </w:r>
          </w:p>
        </w:tc>
        <w:tc>
          <w:tcPr>
            <w:tcW w:type="dxa" w:w="794"/>
            <w:vAlign w:val="center"/>
            <w:tcMar>
              <w:top w:w="40" w:type="dxa"/>
              <w:bottom w:w="40" w:type="dxa"/>
              <w:start w:w="90" w:type="dxa"/>
              <w:end w:w="90" w:type="dxa"/>
            </w:tcMar>
          </w:tcPr>
          <w:p>
            <w:pPr>
              <w:keepNext/>
              <w:spacing w:after="0" w:line="240" w:lineRule="auto"/>
              <w:jc w:val="center"/>
            </w:pPr>
            <w:r>
              <w:rPr>
                <w:sz w:val="17"/>
              </w:rPr>
              <w:t>7</w:t>
            </w:r>
          </w:p>
        </w:tc>
        <w:tc>
          <w:tcPr>
            <w:tcW w:type="dxa" w:w="1474"/>
            <w:vAlign w:val="center"/>
            <w:tcMar>
              <w:top w:w="40" w:type="dxa"/>
              <w:bottom w:w="40" w:type="dxa"/>
              <w:start w:w="90" w:type="dxa"/>
              <w:end w:w="90" w:type="dxa"/>
            </w:tcMar>
          </w:tcPr>
          <w:p>
            <w:pPr>
              <w:keepNext/>
              <w:spacing w:after="0" w:line="240" w:lineRule="auto"/>
              <w:jc w:val="center"/>
            </w:pPr>
            <w:r>
              <w:rPr>
                <w:sz w:val="17"/>
              </w:rPr>
              <w:t>2025.5417</w:t>
            </w:r>
          </w:p>
        </w:tc>
        <w:tc>
          <w:tcPr>
            <w:tcW w:type="dxa" w:w="1361"/>
            <w:vAlign w:val="center"/>
            <w:tcMar>
              <w:top w:w="40" w:type="dxa"/>
              <w:bottom w:w="40" w:type="dxa"/>
              <w:start w:w="90" w:type="dxa"/>
              <w:end w:w="90" w:type="dxa"/>
            </w:tcMar>
          </w:tcPr>
          <w:p>
            <w:pPr>
              <w:keepNext/>
              <w:spacing w:after="0" w:line="240" w:lineRule="auto"/>
              <w:jc w:val="center"/>
            </w:pPr>
            <w:r>
              <w:rPr>
                <w:sz w:val="17"/>
              </w:rPr>
              <w:t>427.87</w:t>
            </w:r>
          </w:p>
        </w:tc>
        <w:tc>
          <w:tcPr>
            <w:tcW w:type="dxa" w:w="1928"/>
            <w:vAlign w:val="center"/>
            <w:tcMar>
              <w:top w:w="40" w:type="dxa"/>
              <w:bottom w:w="40" w:type="dxa"/>
              <w:start w:w="90" w:type="dxa"/>
              <w:end w:w="90" w:type="dxa"/>
            </w:tcMar>
          </w:tcPr>
          <w:p>
            <w:pPr>
              <w:keepNext/>
              <w:spacing w:after="0" w:line="240" w:lineRule="auto"/>
              <w:jc w:val="center"/>
            </w:pPr>
            <w:r>
              <w:rPr>
                <w:sz w:val="17"/>
              </w:rPr>
              <w:t>427.49</w:t>
            </w:r>
          </w:p>
        </w:tc>
        <w:tc>
          <w:tcPr>
            <w:tcW w:type="dxa" w:w="1361"/>
            <w:vAlign w:val="center"/>
            <w:tcMar>
              <w:top w:w="40" w:type="dxa"/>
              <w:bottom w:w="40" w:type="dxa"/>
              <w:start w:w="90" w:type="dxa"/>
              <w:end w:w="90" w:type="dxa"/>
            </w:tcMar>
          </w:tcPr>
          <w:p>
            <w:pPr>
              <w:keepNext/>
              <w:spacing w:after="0" w:line="240" w:lineRule="auto"/>
              <w:jc w:val="center"/>
            </w:pPr>
            <w:r>
              <w:rPr>
                <w:sz w:val="17"/>
              </w:rPr>
              <w:t>426.73</w:t>
            </w:r>
          </w:p>
        </w:tc>
        <w:tc>
          <w:tcPr>
            <w:tcW w:type="dxa" w:w="1814"/>
            <w:vAlign w:val="center"/>
            <w:tcMar>
              <w:top w:w="40" w:type="dxa"/>
              <w:bottom w:w="40" w:type="dxa"/>
              <w:start w:w="90" w:type="dxa"/>
              <w:end w:w="90" w:type="dxa"/>
            </w:tcMar>
          </w:tcPr>
          <w:p>
            <w:pPr>
              <w:keepNext/>
              <w:spacing w:after="0" w:line="240" w:lineRule="auto"/>
              <w:jc w:val="center"/>
            </w:pPr>
            <w:r>
              <w:rPr>
                <w:sz w:val="17"/>
              </w:rPr>
              <w:t>+1.14</w:t>
            </w:r>
          </w:p>
        </w:tc>
      </w:tr>
      <w:tr>
        <w:trPr>
          <w:cantSplit/>
        </w:trPr>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2025</w:t>
            </w:r>
          </w:p>
        </w:tc>
        <w:tc>
          <w:tcPr>
            <w:tcW w:type="dxa" w:w="794"/>
            <w:vAlign w:val="center"/>
            <w:tcMar>
              <w:top w:w="40" w:type="dxa"/>
              <w:bottom w:w="40" w:type="dxa"/>
              <w:start w:w="90" w:type="dxa"/>
              <w:end w:w="90" w:type="dxa"/>
            </w:tcMar>
            <w:shd w:val="clear" w:color="auto" w:fill="F5F4F0"/>
          </w:tcPr>
          <w:p>
            <w:pPr>
              <w:keepNext/>
              <w:spacing w:after="0" w:line="240" w:lineRule="auto"/>
              <w:jc w:val="center"/>
            </w:pPr>
            <w:r>
              <w:rPr>
                <w:sz w:val="17"/>
              </w:rPr>
              <w:t>8</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2025.6250</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425.48</w:t>
            </w:r>
          </w:p>
        </w:tc>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427.41</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426.95</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-1.47</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2025</w:t>
            </w:r>
          </w:p>
        </w:tc>
        <w:tc>
          <w:tcPr>
            <w:tcW w:type="dxa" w:w="794"/>
            <w:vAlign w:val="center"/>
            <w:tcMar>
              <w:top w:w="40" w:type="dxa"/>
              <w:bottom w:w="40" w:type="dxa"/>
              <w:start w:w="90" w:type="dxa"/>
              <w:end w:w="90" w:type="dxa"/>
            </w:tcMar>
          </w:tcPr>
          <w:p>
            <w:pPr>
              <w:keepNext/>
              <w:spacing w:after="0" w:line="240" w:lineRule="auto"/>
              <w:jc w:val="center"/>
            </w:pPr>
            <w:r>
              <w:rPr>
                <w:sz w:val="17"/>
              </w:rPr>
              <w:t>9</w:t>
            </w:r>
          </w:p>
        </w:tc>
        <w:tc>
          <w:tcPr>
            <w:tcW w:type="dxa" w:w="1474"/>
            <w:vAlign w:val="center"/>
            <w:tcMar>
              <w:top w:w="40" w:type="dxa"/>
              <w:bottom w:w="40" w:type="dxa"/>
              <w:start w:w="90" w:type="dxa"/>
              <w:end w:w="90" w:type="dxa"/>
            </w:tcMar>
          </w:tcPr>
          <w:p>
            <w:pPr>
              <w:keepNext/>
              <w:spacing w:after="0" w:line="240" w:lineRule="auto"/>
              <w:jc w:val="center"/>
            </w:pPr>
            <w:r>
              <w:rPr>
                <w:sz w:val="17"/>
              </w:rPr>
              <w:t>2025.7083</w:t>
            </w:r>
          </w:p>
        </w:tc>
        <w:tc>
          <w:tcPr>
            <w:tcW w:type="dxa" w:w="1361"/>
            <w:vAlign w:val="center"/>
            <w:tcMar>
              <w:top w:w="40" w:type="dxa"/>
              <w:bottom w:w="40" w:type="dxa"/>
              <w:start w:w="90" w:type="dxa"/>
              <w:end w:w="90" w:type="dxa"/>
            </w:tcMar>
          </w:tcPr>
          <w:p>
            <w:pPr>
              <w:keepNext/>
              <w:spacing w:after="0" w:line="240" w:lineRule="auto"/>
              <w:jc w:val="center"/>
            </w:pPr>
            <w:r>
              <w:rPr>
                <w:sz w:val="17"/>
              </w:rPr>
              <w:t>424.37</w:t>
            </w:r>
          </w:p>
        </w:tc>
        <w:tc>
          <w:tcPr>
            <w:tcW w:type="dxa" w:w="1928"/>
            <w:vAlign w:val="center"/>
            <w:tcMar>
              <w:top w:w="40" w:type="dxa"/>
              <w:bottom w:w="40" w:type="dxa"/>
              <w:start w:w="90" w:type="dxa"/>
              <w:end w:w="90" w:type="dxa"/>
            </w:tcMar>
          </w:tcPr>
          <w:p>
            <w:pPr>
              <w:keepNext/>
              <w:spacing w:after="0" w:line="240" w:lineRule="auto"/>
              <w:jc w:val="center"/>
            </w:pPr>
            <w:r>
              <w:rPr>
                <w:sz w:val="17"/>
              </w:rPr>
              <w:t>427.85</w:t>
            </w:r>
          </w:p>
        </w:tc>
        <w:tc>
          <w:tcPr>
            <w:tcW w:type="dxa" w:w="1361"/>
            <w:vAlign w:val="center"/>
            <w:tcMar>
              <w:top w:w="40" w:type="dxa"/>
              <w:bottom w:w="40" w:type="dxa"/>
              <w:start w:w="90" w:type="dxa"/>
              <w:end w:w="90" w:type="dxa"/>
            </w:tcMar>
          </w:tcPr>
          <w:p>
            <w:pPr>
              <w:keepNext/>
              <w:spacing w:after="0" w:line="240" w:lineRule="auto"/>
              <w:jc w:val="center"/>
            </w:pPr>
            <w:r>
              <w:rPr>
                <w:sz w:val="17"/>
              </w:rPr>
              <w:t>427.18</w:t>
            </w:r>
          </w:p>
        </w:tc>
        <w:tc>
          <w:tcPr>
            <w:tcW w:type="dxa" w:w="1814"/>
            <w:vAlign w:val="center"/>
            <w:tcMar>
              <w:top w:w="40" w:type="dxa"/>
              <w:bottom w:w="40" w:type="dxa"/>
              <w:start w:w="90" w:type="dxa"/>
              <w:end w:w="90" w:type="dxa"/>
            </w:tcMar>
          </w:tcPr>
          <w:p>
            <w:pPr>
              <w:keepNext/>
              <w:spacing w:after="0" w:line="240" w:lineRule="auto"/>
              <w:jc w:val="center"/>
            </w:pPr>
            <w:r>
              <w:rPr>
                <w:sz w:val="17"/>
              </w:rPr>
              <w:t>-2.81</w:t>
            </w:r>
          </w:p>
        </w:tc>
      </w:tr>
      <w:tr>
        <w:trPr>
          <w:cantSplit/>
        </w:trPr>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2025</w:t>
            </w:r>
          </w:p>
        </w:tc>
        <w:tc>
          <w:tcPr>
            <w:tcW w:type="dxa" w:w="794"/>
            <w:vAlign w:val="center"/>
            <w:tcMar>
              <w:top w:w="40" w:type="dxa"/>
              <w:bottom w:w="40" w:type="dxa"/>
              <w:start w:w="90" w:type="dxa"/>
              <w:end w:w="90" w:type="dxa"/>
            </w:tcMar>
            <w:shd w:val="clear" w:color="auto" w:fill="F5F4F0"/>
          </w:tcPr>
          <w:p>
            <w:pPr>
              <w:keepNext/>
              <w:spacing w:after="0" w:line="240" w:lineRule="auto"/>
              <w:jc w:val="center"/>
            </w:pPr>
            <w:r>
              <w:rPr>
                <w:sz w:val="17"/>
              </w:rPr>
              <w:t>10</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2025.7917</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424.87</w:t>
            </w:r>
          </w:p>
        </w:tc>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428.12</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427.40</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-2.53</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7"/>
              </w:rPr>
              <w:t>2025</w:t>
            </w:r>
          </w:p>
        </w:tc>
        <w:tc>
          <w:tcPr>
            <w:tcW w:type="dxa" w:w="794"/>
            <w:vAlign w:val="center"/>
            <w:tcMar>
              <w:top w:w="40" w:type="dxa"/>
              <w:bottom w:w="40" w:type="dxa"/>
              <w:start w:w="90" w:type="dxa"/>
              <w:end w:w="90" w:type="dxa"/>
            </w:tcMar>
          </w:tcPr>
          <w:p>
            <w:pPr>
              <w:keepNext/>
              <w:spacing w:after="0" w:line="240" w:lineRule="auto"/>
              <w:jc w:val="center"/>
            </w:pPr>
            <w:r>
              <w:rPr>
                <w:sz w:val="17"/>
              </w:rPr>
              <w:t>11</w:t>
            </w:r>
          </w:p>
        </w:tc>
        <w:tc>
          <w:tcPr>
            <w:tcW w:type="dxa" w:w="1474"/>
            <w:vAlign w:val="center"/>
            <w:tcMar>
              <w:top w:w="40" w:type="dxa"/>
              <w:bottom w:w="40" w:type="dxa"/>
              <w:start w:w="90" w:type="dxa"/>
              <w:end w:w="90" w:type="dxa"/>
            </w:tcMar>
          </w:tcPr>
          <w:p>
            <w:pPr>
              <w:keepNext/>
              <w:spacing w:after="0" w:line="240" w:lineRule="auto"/>
              <w:jc w:val="center"/>
            </w:pPr>
            <w:r>
              <w:rPr>
                <w:sz w:val="17"/>
              </w:rPr>
              <w:t>2025.8750</w:t>
            </w:r>
          </w:p>
        </w:tc>
        <w:tc>
          <w:tcPr>
            <w:tcW w:type="dxa" w:w="1361"/>
            <w:vAlign w:val="center"/>
            <w:tcMar>
              <w:top w:w="40" w:type="dxa"/>
              <w:bottom w:w="40" w:type="dxa"/>
              <w:start w:w="90" w:type="dxa"/>
              <w:end w:w="90" w:type="dxa"/>
            </w:tcMar>
          </w:tcPr>
          <w:p>
            <w:pPr>
              <w:keepNext/>
              <w:spacing w:after="0" w:line="240" w:lineRule="auto"/>
              <w:jc w:val="center"/>
            </w:pPr>
            <w:r>
              <w:rPr>
                <w:sz w:val="17"/>
              </w:rPr>
              <w:t>426.46</w:t>
            </w:r>
          </w:p>
        </w:tc>
        <w:tc>
          <w:tcPr>
            <w:tcW w:type="dxa" w:w="1928"/>
            <w:vAlign w:val="center"/>
            <w:tcMar>
              <w:top w:w="40" w:type="dxa"/>
              <w:bottom w:w="40" w:type="dxa"/>
              <w:start w:w="90" w:type="dxa"/>
              <w:end w:w="90" w:type="dxa"/>
            </w:tcMar>
          </w:tcPr>
          <w:p>
            <w:pPr>
              <w:keepNext/>
              <w:spacing w:after="0" w:line="240" w:lineRule="auto"/>
              <w:jc w:val="center"/>
            </w:pPr>
            <w:r>
              <w:rPr>
                <w:sz w:val="17"/>
              </w:rPr>
              <w:t>428.40</w:t>
            </w:r>
          </w:p>
        </w:tc>
        <w:tc>
          <w:tcPr>
            <w:tcW w:type="dxa" w:w="1361"/>
            <w:vAlign w:val="center"/>
            <w:tcMar>
              <w:top w:w="40" w:type="dxa"/>
              <w:bottom w:w="40" w:type="dxa"/>
              <w:start w:w="90" w:type="dxa"/>
              <w:end w:w="90" w:type="dxa"/>
            </w:tcMar>
          </w:tcPr>
          <w:p>
            <w:pPr>
              <w:keepNext/>
              <w:spacing w:after="0" w:line="240" w:lineRule="auto"/>
              <w:jc w:val="center"/>
            </w:pPr>
            <w:r>
              <w:rPr>
                <w:sz w:val="17"/>
              </w:rPr>
              <w:t>427.62</w:t>
            </w:r>
          </w:p>
        </w:tc>
        <w:tc>
          <w:tcPr>
            <w:tcW w:type="dxa" w:w="1814"/>
            <w:vAlign w:val="center"/>
            <w:tcMar>
              <w:top w:w="40" w:type="dxa"/>
              <w:bottom w:w="40" w:type="dxa"/>
              <w:start w:w="90" w:type="dxa"/>
              <w:end w:w="90" w:type="dxa"/>
            </w:tcMar>
          </w:tcPr>
          <w:p>
            <w:pPr>
              <w:keepNext/>
              <w:spacing w:after="0" w:line="240" w:lineRule="auto"/>
              <w:jc w:val="center"/>
            </w:pPr>
            <w:r>
              <w:rPr>
                <w:sz w:val="17"/>
              </w:rPr>
              <w:t>-1.16</w:t>
            </w:r>
          </w:p>
        </w:tc>
      </w:tr>
      <w:tr>
        <w:trPr>
          <w:cantSplit/>
        </w:trPr>
        <w:tc>
          <w:tcPr>
            <w:tcW w:type="dxa" w:w="907"/>
            <w:vAlign w:val="center"/>
            <w:tcMar>
              <w:top w:w="40" w:type="dxa"/>
              <w:bottom w:w="40" w:type="dxa"/>
              <w:start w:w="90" w:type="dxa"/>
              <w:end w:w="90" w:type="dxa"/>
            </w:tcMar>
            <w:shd w:val="clear" w:color="auto" w:fill="F5F4F0"/>
          </w:tcPr>
          <w:p>
            <w:pPr>
              <w:spacing w:after="0" w:line="240" w:lineRule="auto"/>
              <w:jc w:val="center"/>
            </w:pPr>
            <w:r>
              <w:rPr>
                <w:sz w:val="17"/>
              </w:rPr>
              <w:t>2025</w:t>
            </w:r>
          </w:p>
        </w:tc>
        <w:tc>
          <w:tcPr>
            <w:tcW w:type="dxa" w:w="794"/>
            <w:vAlign w:val="center"/>
            <w:tcMar>
              <w:top w:w="40" w:type="dxa"/>
              <w:bottom w:w="40" w:type="dxa"/>
              <w:start w:w="90" w:type="dxa"/>
              <w:end w:w="90" w:type="dxa"/>
            </w:tcMar>
            <w:shd w:val="clear" w:color="auto" w:fill="F5F4F0"/>
          </w:tcPr>
          <w:p>
            <w:pPr>
              <w:spacing w:after="0" w:line="240" w:lineRule="auto"/>
              <w:jc w:val="center"/>
            </w:pPr>
            <w:r>
              <w:rPr>
                <w:sz w:val="17"/>
              </w:rPr>
              <w:t>12</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7"/>
              </w:rPr>
              <w:t>2025.9583</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427.49</w:t>
            </w:r>
          </w:p>
        </w:tc>
        <w:tc>
          <w:tcPr>
            <w:tcW w:type="dxa" w:w="1928"/>
            <w:vAlign w:val="center"/>
            <w:tcMar>
              <w:top w:w="40" w:type="dxa"/>
              <w:bottom w:w="40" w:type="dxa"/>
              <w:start w:w="90" w:type="dxa"/>
              <w:end w:w="90" w:type="dxa"/>
            </w:tcMar>
            <w:shd w:val="clear" w:color="auto" w:fill="F5F4F0"/>
          </w:tcPr>
          <w:p>
            <w:pPr>
              <w:spacing w:after="0" w:line="240" w:lineRule="auto"/>
              <w:jc w:val="center"/>
            </w:pPr>
            <w:r>
              <w:rPr>
                <w:sz w:val="17"/>
              </w:rPr>
              <w:t>428.22</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427.85</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-0.36</w:t>
            </w:r>
          </w:p>
        </w:tc>
      </w:tr>
    </w:tbl>
    <w:p>
      <w:pPr>
        <w:spacing w:after="40"/>
      </w:pPr>
    </w:p>
    <w:p>
      <w:pPr>
        <w:keepNext/>
        <w:spacing w:before="80" w:after="40"/>
        <w:jc w:val="center"/>
      </w:pPr>
      <w:r>
        <w:drawing>
          <wp:inline xmlns:a="http://schemas.openxmlformats.org/drawingml/2006/main" xmlns:pic="http://schemas.openxmlformats.org/drawingml/2006/picture">
            <wp:extent cx="6120000" cy="3495767"/>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495767"/>
                    </a:xfrm>
                    <a:prstGeom prst="rect"/>
                  </pic:spPr>
                </pic:pic>
              </a:graphicData>
            </a:graphic>
          </wp:inline>
        </w:drawing>
      </w:r>
    </w:p>
    <w:p>
      <w:pPr>
        <w:pStyle w:val="Caption"/>
        <w:keepNext/>
        <w:spacing w:after="160" w:before="40"/>
        <w:jc w:val="both"/>
      </w:pPr>
      <w:r>
        <w:rPr>
          <w:b/>
        </w:rPr>
        <w:t xml:space="preserve">Figure 1. </w:t>
      </w:r>
      <w:r>
        <w:rPr>
          <w:b/>
        </w:rPr>
        <w:t>The input signal.</w:t>
      </w:r>
      <w:r>
        <w:t xml:space="preserve">  </w:t>
      </w:r>
      <w:r>
        <w:rPr>
          <w:sz w:val="19"/>
        </w:rPr>
        <w:t>(a) Monthly CO₂ with the order-3 polynomial trend; (b) the detrended signal.</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CO₂ rose from about 316 to 426 ppm, and the rise is accelerating (the slope of the trend grew from 0.96 ppm/yr around 1960 to 2.57 ppm/yr around 2020). After the trend is removed, what remains is a strikingly regular oscillation of about ±3 ppm every year: a periodic signal for which the DFT is the natural description.</w:t>
            </w:r>
          </w:p>
        </w:tc>
      </w:tr>
    </w:tbl>
    <w:p>
      <w:pPr>
        <w:spacing w:after="40"/>
      </w:pPr>
    </w:p>
    <w:p>
      <w:pPr>
        <w:pStyle w:val="Heading1"/>
      </w:pPr>
      <w:r>
        <w:t>5.  Methodology and Implementation</w:t>
      </w:r>
    </w:p>
    <w:p>
      <w:pPr>
        <w:keepNext/>
        <w:jc w:val="both"/>
      </w:pPr>
      <w:r>
        <w:t>The trend is removed by least squares, the DFT of r[n] is computed, the bins at 1 and 2 cycles per year (k = 67 and 134, with their mirrors) are kept and all others set to zero, and the IDFT of what remains is the seasonal model. Leakage is studied by deleting 5 months, and the DFT matrix is timed against the FFT for several N.</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URL, sampling rate, trend order, harmonics, leakage and timing settings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once, cache, trim to whole years</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dft.py</w:t>
            </w:r>
          </w:p>
        </w:tc>
        <w:tc>
          <w:tcPr>
            <w:tcW w:type="dxa" w:w="7257"/>
            <w:vAlign w:val="center"/>
            <w:tcMar>
              <w:top w:w="40" w:type="dxa"/>
              <w:bottom w:w="40" w:type="dxa"/>
              <w:start w:w="90" w:type="dxa"/>
              <w:end w:w="90" w:type="dxa"/>
            </w:tcMar>
          </w:tcPr>
          <w:p>
            <w:pPr>
              <w:keepNext/>
              <w:spacing w:after="0" w:line="240" w:lineRule="auto"/>
              <w:jc w:val="left"/>
            </w:pPr>
            <w:r>
              <w:rPr>
                <w:sz w:val="18"/>
              </w:rPr>
              <w:t>DFT by definition, DFT matrix, IDFT, amplitude/phase, bin masking, Hann window, checks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Spectrum, leakage, seasonal synthesis, decades, growth rate, timing</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spectrum analyser and DFT calculator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test_dft.py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10 unit tests (inverse, Parseval, symmetry, linearity, shift, leakage): all pass</w:t>
            </w:r>
          </w:p>
        </w:tc>
      </w:tr>
    </w:tbl>
    <w:p>
      <w:pPr>
        <w:spacing w:after="40"/>
      </w:pPr>
    </w:p>
    <w:p>
      <w:pPr>
        <w:keepNext/>
        <w:spacing w:before="120" w:after="40"/>
      </w:pPr>
      <w:r>
        <w:rPr>
          <w:b/>
          <w:sz w:val="19"/>
        </w:rPr>
        <w:t>Core of dft.py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dft_direct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X[k] = sum x[n] e^{-j 2 pi k n / N}</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color w:val="795E26"/>
                <w:sz w:val="15"/>
              </w:rPr>
              <w:t>sum</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exp</w:t>
            </w:r>
            <w:r>
              <w:rPr>
                <w:rFonts w:ascii="Consolas" w:hAnsi="Consolas"/>
                <w:sz w:val="15"/>
              </w:rPr>
              <w:t>(</w:t>
            </w:r>
            <w:r>
              <w:rPr>
                <w:rFonts w:ascii="Consolas" w:hAnsi="Consolas"/>
                <w:color w:val="000000"/>
                <w:sz w:val="15"/>
              </w:rPr>
              <w:t>-</w:t>
            </w:r>
            <w:r>
              <w:rPr>
                <w:rFonts w:ascii="Consolas" w:hAnsi="Consolas"/>
                <w:color w:val="098658"/>
                <w:sz w:val="15"/>
              </w:rPr>
              <w:t>2</w:t>
            </w:r>
            <w:r>
              <w:rPr>
                <w:rFonts w:ascii="Consolas" w:hAnsi="Consolas"/>
                <w:color w:val="001080"/>
                <w:sz w:val="15"/>
              </w:rPr>
              <w:t>j</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pi</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5  </w:t>
            </w:r>
          </w:p>
          <w:p>
            <w:pPr>
              <w:keepNext/>
              <w:spacing w:after="0" w:before="0" w:line="240" w:lineRule="auto"/>
            </w:pPr>
            <w:r>
              <w:rPr>
                <w:rFonts w:ascii="Consolas" w:hAnsi="Consolas"/>
                <w:color w:val="A0A0A0"/>
                <w:sz w:val="15"/>
              </w:rPr>
              <w:t xml:space="preserve"> 6  </w:t>
            </w:r>
            <w:r>
              <w:rPr>
                <w:rFonts w:ascii="Consolas" w:hAnsi="Consolas"/>
                <w:color w:val="0000C0"/>
                <w:sz w:val="15"/>
              </w:rPr>
              <w:t>def</w:t>
            </w:r>
            <w:r>
              <w:rPr>
                <w:rFonts w:ascii="Consolas" w:hAnsi="Consolas"/>
                <w:sz w:val="15"/>
              </w:rPr>
              <w:t xml:space="preserve"> </w:t>
            </w:r>
            <w:r>
              <w:rPr>
                <w:rFonts w:ascii="Consolas" w:hAnsi="Consolas"/>
                <w:color w:val="795E26"/>
                <w:sz w:val="15"/>
              </w:rPr>
              <w:t>dft_matrix</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W[k, n] = e^{-j 2 pi k n / N}</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exp</w:t>
            </w:r>
            <w:r>
              <w:rPr>
                <w:rFonts w:ascii="Consolas" w:hAnsi="Consolas"/>
                <w:sz w:val="15"/>
              </w:rPr>
              <w:t>(</w:t>
            </w:r>
            <w:r>
              <w:rPr>
                <w:rFonts w:ascii="Consolas" w:hAnsi="Consolas"/>
                <w:color w:val="000000"/>
                <w:sz w:val="15"/>
              </w:rPr>
              <w:t>-</w:t>
            </w:r>
            <w:r>
              <w:rPr>
                <w:rFonts w:ascii="Consolas" w:hAnsi="Consolas"/>
                <w:color w:val="098658"/>
                <w:sz w:val="15"/>
              </w:rPr>
              <w:t>2</w:t>
            </w:r>
            <w:r>
              <w:rPr>
                <w:rFonts w:ascii="Consolas" w:hAnsi="Consolas"/>
                <w:color w:val="001080"/>
                <w:sz w:val="15"/>
              </w:rPr>
              <w:t>j</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pi</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outer</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9  </w:t>
            </w:r>
          </w:p>
          <w:p>
            <w:pPr>
              <w:keepNext/>
              <w:spacing w:after="0" w:before="0" w:line="240" w:lineRule="auto"/>
            </w:pPr>
            <w:r>
              <w:rPr>
                <w:rFonts w:ascii="Consolas" w:hAnsi="Consolas"/>
                <w:color w:val="A0A0A0"/>
                <w:sz w:val="15"/>
              </w:rPr>
              <w:t xml:space="preserve">10  </w:t>
            </w:r>
            <w:r>
              <w:rPr>
                <w:rFonts w:ascii="Consolas" w:hAnsi="Consolas"/>
                <w:color w:val="0000C0"/>
                <w:sz w:val="15"/>
              </w:rPr>
              <w:t>def</w:t>
            </w:r>
            <w:r>
              <w:rPr>
                <w:rFonts w:ascii="Consolas" w:hAnsi="Consolas"/>
                <w:sz w:val="15"/>
              </w:rPr>
              <w:t xml:space="preserve"> </w:t>
            </w:r>
            <w:r>
              <w:rPr>
                <w:rFonts w:ascii="Consolas" w:hAnsi="Consolas"/>
                <w:color w:val="795E26"/>
                <w:sz w:val="15"/>
              </w:rPr>
              <w:t>idft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x = (1/N) W* X</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conj</w:t>
            </w:r>
            <w:r>
              <w:rPr>
                <w:rFonts w:ascii="Consolas" w:hAnsi="Consolas"/>
                <w:sz w:val="15"/>
              </w:rPr>
              <w:t>(</w:t>
            </w:r>
            <w:r>
              <w:rPr>
                <w:rFonts w:ascii="Consolas" w:hAnsi="Consolas"/>
                <w:color w:val="001080"/>
                <w:sz w:val="15"/>
              </w:rPr>
              <w:t>dft_matrix</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p>
          <w:p>
            <w:pPr>
              <w:keepNext/>
              <w:spacing w:after="0" w:before="0" w:line="240" w:lineRule="auto"/>
            </w:pPr>
            <w:r>
              <w:rPr>
                <w:rFonts w:ascii="Consolas" w:hAnsi="Consolas"/>
                <w:color w:val="A0A0A0"/>
                <w:sz w:val="15"/>
              </w:rPr>
              <w:t xml:space="preserve">12  </w:t>
            </w:r>
          </w:p>
          <w:p>
            <w:pPr>
              <w:keepNext/>
              <w:spacing w:after="0" w:before="0" w:line="240" w:lineRule="auto"/>
            </w:pPr>
            <w:r>
              <w:rPr>
                <w:rFonts w:ascii="Consolas" w:hAnsi="Consolas"/>
                <w:color w:val="A0A0A0"/>
                <w:sz w:val="15"/>
              </w:rPr>
              <w:t xml:space="preserve">13  </w:t>
            </w:r>
            <w:r>
              <w:rPr>
                <w:rFonts w:ascii="Consolas" w:hAnsi="Consolas"/>
                <w:color w:val="0000C0"/>
                <w:sz w:val="15"/>
              </w:rPr>
              <w:t>def</w:t>
            </w:r>
            <w:r>
              <w:rPr>
                <w:rFonts w:ascii="Consolas" w:hAnsi="Consolas"/>
                <w:sz w:val="15"/>
              </w:rPr>
              <w:t xml:space="preserve"> </w:t>
            </w:r>
            <w:r>
              <w:rPr>
                <w:rFonts w:ascii="Consolas" w:hAnsi="Consolas"/>
                <w:color w:val="795E26"/>
                <w:sz w:val="15"/>
              </w:rPr>
              <w:t>keep_bins</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bins</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ideal filter: keep +k and N-k only</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1080"/>
                <w:sz w:val="15"/>
              </w:rPr>
              <w:t>mask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795E26"/>
                <w:sz w:val="15"/>
              </w:rPr>
              <w:t>bool</w:t>
            </w:r>
            <w:r>
              <w:rPr>
                <w:rFonts w:ascii="Consolas" w:hAnsi="Consolas"/>
                <w:sz w:val="15"/>
              </w:rPr>
              <w:t>)</w:t>
            </w:r>
          </w:p>
          <w:p>
            <w:pPr>
              <w:keepNext/>
              <w:spacing w:after="0" w:before="0" w:line="240" w:lineRule="auto"/>
            </w:pPr>
            <w:r>
              <w:rPr>
                <w:rFonts w:ascii="Consolas" w:hAnsi="Consolas"/>
                <w:color w:val="A0A0A0"/>
                <w:sz w:val="15"/>
              </w:rPr>
              <w:t xml:space="preserve">15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001080"/>
                <w:sz w:val="15"/>
              </w:rPr>
              <w:t>bins</w:t>
            </w:r>
            <w:r>
              <w:rPr>
                <w:rFonts w:ascii="Consolas" w:hAnsi="Consolas"/>
                <w:sz w:val="15"/>
              </w:rPr>
              <w:t>:</w:t>
            </w:r>
          </w:p>
          <w:p>
            <w:pPr>
              <w:keepNext/>
              <w:spacing w:after="0" w:before="0" w:line="240" w:lineRule="auto"/>
            </w:pPr>
            <w:r>
              <w:rPr>
                <w:rFonts w:ascii="Consolas" w:hAnsi="Consolas"/>
                <w:color w:val="A0A0A0"/>
                <w:sz w:val="15"/>
              </w:rPr>
              <w:t xml:space="preserve">16  </w:t>
            </w:r>
            <w:r>
              <w:rPr>
                <w:rFonts w:ascii="Consolas" w:hAnsi="Consolas"/>
                <w:sz w:val="15"/>
              </w:rPr>
              <w:t xml:space="preserve">        </w:t>
            </w:r>
            <w:r>
              <w:rPr>
                <w:rFonts w:ascii="Consolas" w:hAnsi="Consolas"/>
                <w:color w:val="001080"/>
                <w:sz w:val="15"/>
              </w:rPr>
              <w:t>mask</w:t>
            </w:r>
            <w:r>
              <w:rPr>
                <w:rFonts w:ascii="Consolas" w:hAnsi="Consolas"/>
                <w:sz w:val="15"/>
              </w:rPr>
              <w:t>[</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mask</w:t>
            </w:r>
            <w:r>
              <w:rPr>
                <w:rFonts w:ascii="Consolas" w:hAnsi="Consolas"/>
                <w:sz w:val="15"/>
              </w:rPr>
              <w:t>[</w:t>
            </w:r>
            <w:r>
              <w:rPr>
                <w:rFonts w:ascii="Consolas" w:hAnsi="Consolas"/>
                <w:color w:val="000000"/>
                <w:sz w:val="15"/>
              </w:rPr>
              <w:t>-</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00C0"/>
                <w:sz w:val="15"/>
              </w:rPr>
              <w:t>True</w:t>
            </w:r>
          </w:p>
          <w:p>
            <w:pPr>
              <w:keepNext/>
              <w:spacing w:after="0" w:before="0" w:line="240" w:lineRule="auto"/>
            </w:pPr>
            <w:r>
              <w:rPr>
                <w:rFonts w:ascii="Consolas" w:hAnsi="Consolas"/>
                <w:color w:val="A0A0A0"/>
                <w:sz w:val="15"/>
              </w:rPr>
              <w:t xml:space="preserve">17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where</w:t>
            </w:r>
            <w:r>
              <w:rPr>
                <w:rFonts w:ascii="Consolas" w:hAnsi="Consolas"/>
                <w:sz w:val="15"/>
              </w:rPr>
              <w:t>(</w:t>
            </w:r>
            <w:r>
              <w:rPr>
                <w:rFonts w:ascii="Consolas" w:hAnsi="Consolas"/>
                <w:color w:val="001080"/>
                <w:sz w:val="15"/>
              </w:rPr>
              <w:t>mask</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98658"/>
                <w:sz w:val="15"/>
              </w:rPr>
              <w:t>0</w:t>
            </w:r>
            <w:r>
              <w:rPr>
                <w:rFonts w:ascii="Consolas" w:hAnsi="Consolas"/>
                <w:sz w:val="15"/>
              </w:rPr>
              <w:t>)</w:t>
            </w:r>
          </w:p>
          <w:p>
            <w:pPr>
              <w:keepNext w:val="0"/>
              <w:spacing w:after="0" w:before="0" w:line="240" w:lineRule="auto"/>
            </w:pPr>
            <w:r>
              <w:rPr>
                <w:rFonts w:ascii="Consolas" w:hAnsi="Consolas"/>
                <w:color w:val="A0A0A0"/>
                <w:sz w:val="15"/>
              </w:rPr>
              <w:t xml:space="preserve">18  </w:t>
            </w:r>
          </w:p>
        </w:tc>
      </w:tr>
    </w:tbl>
    <w:p>
      <w:pPr>
        <w:spacing w:after="40"/>
      </w:pPr>
    </w:p>
    <w:p>
      <w:pPr>
        <w:keepNext w:val="0"/>
        <w:jc w:val="both"/>
      </w:pPr>
      <w:r>
        <w:rPr>
          <w:b/>
        </w:rPr>
        <w:t>GUI.</w:t>
      </w:r>
      <w:r>
        <w:t xml:space="preserve"> </w:t>
      </w:r>
      <w:r>
        <w:rPr>
          <w:rFonts w:ascii="Consolas" w:hAnsi="Consolas"/>
          <w:sz w:val="19"/>
        </w:rPr>
        <w:t>gui.py</w:t>
      </w:r>
      <w:r>
        <w:t xml:space="preserve"> (Figure 2) lets the user change the record length month by month, the trend order, the window and the zero-padding factor, and choose which harmonics the IDFT keeps. It reports the line amplitude, whether N/12 falls on a bin, the resolution and the error against NOAA. A calculator returns the DFT of any typed sequence for checking hand calculations.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spectrum analyser with N = 799 months.</w:t>
      </w:r>
      <w:r>
        <w:t xml:space="preserve">  </w:t>
      </w:r>
      <w:r>
        <w:rPr>
          <w:sz w:val="19"/>
        </w:rPr>
        <w:t>N/12 is not an integer: the annual line leaks, and an IDFT that keeps the nearest bins drifts out of phase.</w:t>
      </w:r>
    </w:p>
    <w:p>
      <w:pPr>
        <w:pStyle w:val="Heading1"/>
      </w:pPr>
      <w:r>
        <w:t>6.  Calculations</w:t>
      </w:r>
    </w:p>
    <w:p>
      <w:pPr>
        <w:keepNext/>
        <w:jc w:val="both"/>
      </w:pPr>
      <w:r>
        <w:rPr>
          <w:b/>
        </w:rPr>
        <w:t>4-point DFT by hand.</w:t>
      </w:r>
      <w:r>
        <w:t xml:space="preserve"> One sample per quarter of the seasonal model (January, April, July, October), rounded: x = [0.1, 2.5, 0.6, −3.2]. With N = 4, </w:t>
      </w:r>
      <m:oMath xmlns:mml="http://www.w3.org/1998/Math/MathML">
        <m:sSub>
          <m:e>
            <m:r>
              <m:t>W</m:t>
            </m:r>
          </m:e>
          <m:sub>
            <m:r>
              <m:t>4</m:t>
            </m:r>
          </m:sub>
        </m:sSub>
        <m:r>
          <m:t>=</m:t>
        </m:r>
        <m:sSup>
          <m:e>
            <m:r>
              <m:t>e</m:t>
            </m:r>
          </m:e>
          <m:sup>
            <m:r>
              <m:t>−jπ/2</m:t>
            </m:r>
          </m:sup>
        </m:sSup>
        <m:r>
          <m:t>=−j</m:t>
        </m:r>
      </m:oMath>
      <w:r>
        <w:t xml:space="preserve">, so </w:t>
      </w:r>
      <m:oMath xmlns:mml="http://www.w3.org/1998/Math/MathML">
        <m:sSubSup>
          <m:e>
            <m:r>
              <m:t>W</m:t>
            </m:r>
          </m:e>
          <m:sub>
            <m:r>
              <m:t>4</m:t>
            </m:r>
          </m:sub>
          <m:sup>
            <m:r>
              <m:t>kn</m:t>
            </m:r>
          </m:sup>
        </m:sSubSup>
      </m:oMath>
      <w:r>
        <w:t xml:space="preserve"> cycles through 1, −j, −1, j:</w:t>
      </w:r>
    </w:p>
    <w:p>
      <w:pPr>
        <w:pStyle w:val="Caption"/>
        <w:keepNext/>
        <w:spacing w:after="60" w:before="120"/>
        <w:jc w:val="center"/>
      </w:pPr>
      <w:r>
        <w:rPr>
          <w:b/>
        </w:rPr>
        <w:t xml:space="preserve">Table 5. </w:t>
      </w:r>
      <w:r>
        <w:rPr>
          <w:b/>
        </w:rPr>
        <w:t>DFT of four quarterly values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4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k</w:t>
            </w:r>
          </w:p>
        </w:tc>
        <w:tc>
          <w:tcPr>
            <w:tcW w:type="dxa" w:w="4309"/>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X[k] = x[0] + x[1]W⁴ᵏ + x[2]W⁴²ᵏ + x[3]W⁴³ᵏ</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X[k]</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|X[k]|</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2|X[k]|/N</w:t>
            </w:r>
          </w:p>
        </w:tc>
      </w:tr>
      <w:tr>
        <w:trPr>
          <w:cantSplit/>
        </w:trPr>
        <w:tc>
          <w:tcPr>
            <w:tcW w:type="dxa" w:w="454"/>
            <w:vAlign w:val="center"/>
            <w:tcMar>
              <w:top w:w="40" w:type="dxa"/>
              <w:bottom w:w="40" w:type="dxa"/>
              <w:start w:w="90" w:type="dxa"/>
              <w:end w:w="90" w:type="dxa"/>
            </w:tcMar>
          </w:tcPr>
          <w:p>
            <w:pPr>
              <w:keepNext/>
              <w:spacing w:after="0" w:line="240" w:lineRule="auto"/>
              <w:jc w:val="center"/>
            </w:pPr>
            <w:r>
              <w:rPr>
                <w:sz w:val="17"/>
              </w:rPr>
              <w:t>0</w:t>
            </w:r>
          </w:p>
        </w:tc>
        <w:tc>
          <w:tcPr>
            <w:tcW w:type="dxa" w:w="4309"/>
            <w:vAlign w:val="center"/>
            <w:tcMar>
              <w:top w:w="40" w:type="dxa"/>
              <w:bottom w:w="40" w:type="dxa"/>
              <w:start w:w="90" w:type="dxa"/>
              <w:end w:w="90" w:type="dxa"/>
            </w:tcMar>
          </w:tcPr>
          <w:p>
            <w:pPr>
              <w:keepNext/>
              <w:spacing w:after="0" w:line="240" w:lineRule="auto"/>
              <w:jc w:val="left"/>
            </w:pPr>
            <w:r>
              <w:rPr>
                <w:sz w:val="17"/>
              </w:rPr>
              <w:t>0.1 + 2.5 + 0.6 − 3.2</w:t>
            </w:r>
          </w:p>
        </w:tc>
        <w:tc>
          <w:tcPr>
            <w:tcW w:type="dxa" w:w="1701"/>
            <w:vAlign w:val="center"/>
            <w:tcMar>
              <w:top w:w="40" w:type="dxa"/>
              <w:bottom w:w="40" w:type="dxa"/>
              <w:start w:w="90" w:type="dxa"/>
              <w:end w:w="90" w:type="dxa"/>
            </w:tcMar>
          </w:tcPr>
          <w:p>
            <w:pPr>
              <w:keepNext/>
              <w:spacing w:after="0" w:line="240" w:lineRule="auto"/>
              <w:jc w:val="center"/>
            </w:pPr>
            <w:r>
              <w:rPr>
                <w:sz w:val="17"/>
              </w:rPr>
              <w:t>0.00</w:t>
            </w:r>
          </w:p>
        </w:tc>
        <w:tc>
          <w:tcPr>
            <w:tcW w:type="dxa" w:w="1361"/>
            <w:vAlign w:val="center"/>
            <w:tcMar>
              <w:top w:w="40" w:type="dxa"/>
              <w:bottom w:w="40" w:type="dxa"/>
              <w:start w:w="90" w:type="dxa"/>
              <w:end w:w="90" w:type="dxa"/>
            </w:tcMar>
          </w:tcPr>
          <w:p>
            <w:pPr>
              <w:keepNext/>
              <w:spacing w:after="0" w:line="240" w:lineRule="auto"/>
              <w:jc w:val="center"/>
            </w:pPr>
            <w:r>
              <w:rPr>
                <w:sz w:val="17"/>
              </w:rPr>
              <w:t>0.00</w:t>
            </w:r>
          </w:p>
        </w:tc>
        <w:tc>
          <w:tcPr>
            <w:tcW w:type="dxa" w:w="1814"/>
            <w:vAlign w:val="center"/>
            <w:tcMar>
              <w:top w:w="40" w:type="dxa"/>
              <w:bottom w:w="40" w:type="dxa"/>
              <w:start w:w="90" w:type="dxa"/>
              <w:end w:w="90" w:type="dxa"/>
            </w:tcMar>
          </w:tcPr>
          <w:p>
            <w:pPr>
              <w:keepNext/>
              <w:spacing w:after="0" w:line="240" w:lineRule="auto"/>
              <w:jc w:val="center"/>
            </w:pPr>
            <w:r>
              <w:rPr>
                <w:sz w:val="17"/>
              </w:rPr>
              <w:t>n/a (mean)</w:t>
            </w:r>
          </w:p>
        </w:tc>
      </w:tr>
      <w:tr>
        <w:trPr>
          <w:cantSplit/>
        </w:trPr>
        <w:tc>
          <w:tcPr>
            <w:tcW w:type="dxa" w:w="454"/>
            <w:vAlign w:val="center"/>
            <w:tcMar>
              <w:top w:w="40" w:type="dxa"/>
              <w:bottom w:w="40" w:type="dxa"/>
              <w:start w:w="90" w:type="dxa"/>
              <w:end w:w="90" w:type="dxa"/>
            </w:tcMar>
            <w:shd w:val="clear" w:color="auto" w:fill="F5F4F0"/>
          </w:tcPr>
          <w:p>
            <w:pPr>
              <w:keepNext/>
              <w:spacing w:after="0" w:line="240" w:lineRule="auto"/>
              <w:jc w:val="center"/>
            </w:pPr>
            <w:r>
              <w:rPr>
                <w:sz w:val="17"/>
              </w:rPr>
              <w:t>1</w:t>
            </w:r>
          </w:p>
        </w:tc>
        <w:tc>
          <w:tcPr>
            <w:tcW w:type="dxa" w:w="4309"/>
            <w:vAlign w:val="center"/>
            <w:tcMar>
              <w:top w:w="40" w:type="dxa"/>
              <w:bottom w:w="40" w:type="dxa"/>
              <w:start w:w="90" w:type="dxa"/>
              <w:end w:w="90" w:type="dxa"/>
            </w:tcMar>
            <w:shd w:val="clear" w:color="auto" w:fill="F5F4F0"/>
          </w:tcPr>
          <w:p>
            <w:pPr>
              <w:keepNext/>
              <w:spacing w:after="0" w:line="240" w:lineRule="auto"/>
              <w:jc w:val="left"/>
            </w:pPr>
            <w:r>
              <w:rPr>
                <w:sz w:val="17"/>
              </w:rPr>
              <w:t>0.1 + 2.5(−j) + 0.6(−1) − 3.2(j)</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-0.50 − j5.70</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5.72</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2.86</w:t>
            </w:r>
          </w:p>
        </w:tc>
      </w:tr>
      <w:tr>
        <w:trPr>
          <w:cantSplit/>
        </w:trPr>
        <w:tc>
          <w:tcPr>
            <w:tcW w:type="dxa" w:w="454"/>
            <w:vAlign w:val="center"/>
            <w:tcMar>
              <w:top w:w="40" w:type="dxa"/>
              <w:bottom w:w="40" w:type="dxa"/>
              <w:start w:w="90" w:type="dxa"/>
              <w:end w:w="90" w:type="dxa"/>
            </w:tcMar>
          </w:tcPr>
          <w:p>
            <w:pPr>
              <w:keepNext/>
              <w:spacing w:after="0" w:line="240" w:lineRule="auto"/>
              <w:jc w:val="center"/>
            </w:pPr>
            <w:r>
              <w:rPr>
                <w:sz w:val="17"/>
              </w:rPr>
              <w:t>2</w:t>
            </w:r>
          </w:p>
        </w:tc>
        <w:tc>
          <w:tcPr>
            <w:tcW w:type="dxa" w:w="4309"/>
            <w:vAlign w:val="center"/>
            <w:tcMar>
              <w:top w:w="40" w:type="dxa"/>
              <w:bottom w:w="40" w:type="dxa"/>
              <w:start w:w="90" w:type="dxa"/>
              <w:end w:w="90" w:type="dxa"/>
            </w:tcMar>
          </w:tcPr>
          <w:p>
            <w:pPr>
              <w:keepNext/>
              <w:spacing w:after="0" w:line="240" w:lineRule="auto"/>
              <w:jc w:val="left"/>
            </w:pPr>
            <w:r>
              <w:rPr>
                <w:sz w:val="17"/>
              </w:rPr>
              <w:t>0.1 − 2.5 + 0.6 + 3.2</w:t>
            </w:r>
          </w:p>
        </w:tc>
        <w:tc>
          <w:tcPr>
            <w:tcW w:type="dxa" w:w="1701"/>
            <w:vAlign w:val="center"/>
            <w:tcMar>
              <w:top w:w="40" w:type="dxa"/>
              <w:bottom w:w="40" w:type="dxa"/>
              <w:start w:w="90" w:type="dxa"/>
              <w:end w:w="90" w:type="dxa"/>
            </w:tcMar>
          </w:tcPr>
          <w:p>
            <w:pPr>
              <w:keepNext/>
              <w:spacing w:after="0" w:line="240" w:lineRule="auto"/>
              <w:jc w:val="center"/>
            </w:pPr>
            <w:r>
              <w:rPr>
                <w:sz w:val="17"/>
              </w:rPr>
              <w:t>1.40</w:t>
            </w:r>
          </w:p>
        </w:tc>
        <w:tc>
          <w:tcPr>
            <w:tcW w:type="dxa" w:w="1361"/>
            <w:vAlign w:val="center"/>
            <w:tcMar>
              <w:top w:w="40" w:type="dxa"/>
              <w:bottom w:w="40" w:type="dxa"/>
              <w:start w:w="90" w:type="dxa"/>
              <w:end w:w="90" w:type="dxa"/>
            </w:tcMar>
          </w:tcPr>
          <w:p>
            <w:pPr>
              <w:keepNext/>
              <w:spacing w:after="0" w:line="240" w:lineRule="auto"/>
              <w:jc w:val="center"/>
            </w:pPr>
            <w:r>
              <w:rPr>
                <w:sz w:val="17"/>
              </w:rPr>
              <w:t>1.40</w:t>
            </w:r>
          </w:p>
        </w:tc>
        <w:tc>
          <w:tcPr>
            <w:tcW w:type="dxa" w:w="1814"/>
            <w:vAlign w:val="center"/>
            <w:tcMar>
              <w:top w:w="40" w:type="dxa"/>
              <w:bottom w:w="40" w:type="dxa"/>
              <w:start w:w="90" w:type="dxa"/>
              <w:end w:w="90" w:type="dxa"/>
            </w:tcMar>
          </w:tcPr>
          <w:p>
            <w:pPr>
              <w:keepNext/>
              <w:spacing w:after="0" w:line="240" w:lineRule="auto"/>
              <w:jc w:val="center"/>
            </w:pPr>
            <w:r>
              <w:rPr>
                <w:sz w:val="17"/>
              </w:rPr>
              <w:t>0.70</w:t>
            </w:r>
          </w:p>
        </w:tc>
      </w:tr>
      <w:tr>
        <w:trPr>
          <w:cantSplit/>
        </w:trPr>
        <w:tc>
          <w:tcPr>
            <w:tcW w:type="dxa" w:w="454"/>
            <w:vAlign w:val="center"/>
            <w:tcMar>
              <w:top w:w="40" w:type="dxa"/>
              <w:bottom w:w="40" w:type="dxa"/>
              <w:start w:w="90" w:type="dxa"/>
              <w:end w:w="90" w:type="dxa"/>
            </w:tcMar>
            <w:shd w:val="clear" w:color="auto" w:fill="F5F4F0"/>
          </w:tcPr>
          <w:p>
            <w:pPr>
              <w:spacing w:after="0" w:line="240" w:lineRule="auto"/>
              <w:jc w:val="center"/>
            </w:pPr>
            <w:r>
              <w:rPr>
                <w:sz w:val="17"/>
              </w:rPr>
              <w:t>3</w:t>
            </w:r>
          </w:p>
        </w:tc>
        <w:tc>
          <w:tcPr>
            <w:tcW w:type="dxa" w:w="4309"/>
            <w:vAlign w:val="center"/>
            <w:tcMar>
              <w:top w:w="40" w:type="dxa"/>
              <w:bottom w:w="40" w:type="dxa"/>
              <w:start w:w="90" w:type="dxa"/>
              <w:end w:w="90" w:type="dxa"/>
            </w:tcMar>
            <w:shd w:val="clear" w:color="auto" w:fill="F5F4F0"/>
          </w:tcPr>
          <w:p>
            <w:pPr>
              <w:spacing w:after="0" w:line="240" w:lineRule="auto"/>
              <w:jc w:val="left"/>
            </w:pPr>
            <w:r>
              <w:rPr>
                <w:sz w:val="17"/>
              </w:rPr>
              <w:t>0.1 + 2.5(j) + 0.6(−1) − 3.2(−j)</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7"/>
              </w:rPr>
              <w:t>-0.50 + j5.70</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5.72</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mirror of k = 1</w:t>
            </w:r>
          </w:p>
        </w:tc>
      </w:tr>
    </w:tbl>
    <w:p>
      <w:pPr>
        <w:spacing w:after="40"/>
      </w:pPr>
    </w:p>
    <w:p>
      <w:pPr>
        <w:keepNext w:val="0"/>
        <w:jc w:val="both"/>
      </w:pPr>
      <w:r>
        <w:rPr>
          <w:b/>
        </w:rPr>
        <w:t>Checks.</w:t>
      </w:r>
      <w:r>
        <w:t xml:space="preserve"> X[3] is the complex conjugate of X[1] (symmetry). Parseval: Σx² = 16.86 and (1/4)Σ|X|² = (0 + 32.74 + 1.96 + 32.74)/4 = 16.86. IDFT of x[1]: (1/4)[X[0] + X[1]·j + X[2]·(−1) + X[3]·(−j)] = (1/4)(0 + 5.7 − 0.5j − 1.4 + 5.7 + 0.5j) = 2.5. </w:t>
      </w:r>
      <w:r>
        <w:rPr>
          <w:b/>
        </w:rPr>
        <w:t>Real record:</w:t>
      </w:r>
      <w:r>
        <w:t xml:space="preserve"> |X[67]| = 1142.8, so A = 2|X|/N = 2.843 ppm with phase φ = -1.665 rad. The fundamental alone peaks where 2πn/12 + φ = 0, i.e. n = 3.18 months after the start of January (mid-April); adding the 2-cycle harmonic moves the combined peak to May. These values match the program (checked by </w:t>
      </w:r>
      <w:r>
        <w:rPr>
          <w:rFonts w:ascii="Consolas" w:hAnsi="Consolas"/>
          <w:sz w:val="19"/>
        </w:rPr>
        <w:t>test_dft.py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2816283"/>
            <wp:docPr id="3" name="Picture 3"/>
            <wp:cNvGraphicFramePr>
              <a:graphicFrameLocks noChangeAspect="1"/>
            </wp:cNvGraphicFramePr>
            <a:graphic>
              <a:graphicData uri="http://schemas.openxmlformats.org/drawingml/2006/picture">
                <pic:pic>
                  <pic:nvPicPr>
                    <pic:cNvPr id="0" name="fig2_spectrum.png"/>
                    <pic:cNvPicPr/>
                  </pic:nvPicPr>
                  <pic:blipFill>
                    <a:blip r:embed="rId13"/>
                    <a:stretch>
                      <a:fillRect/>
                    </a:stretch>
                  </pic:blipFill>
                  <pic:spPr>
                    <a:xfrm>
                      <a:off x="0" y="0"/>
                      <a:ext cx="6120000" cy="2816283"/>
                    </a:xfrm>
                    <a:prstGeom prst="rect"/>
                  </pic:spPr>
                </pic:pic>
              </a:graphicData>
            </a:graphic>
          </wp:inline>
        </w:drawing>
      </w:r>
    </w:p>
    <w:p>
      <w:pPr>
        <w:pStyle w:val="Caption"/>
        <w:keepNext/>
        <w:spacing w:after="160" w:before="40"/>
        <w:jc w:val="both"/>
      </w:pPr>
      <w:r>
        <w:rPr>
          <w:b/>
        </w:rPr>
        <w:t xml:space="preserve">Figure 3. </w:t>
      </w:r>
      <w:r>
        <w:rPr>
          <w:b/>
        </w:rPr>
        <w:t>Amplitude spectrum of the detrended record.</w:t>
      </w:r>
      <w:r>
        <w:t xml:space="preserve">  </w:t>
      </w:r>
      <w:r>
        <w:rPr>
          <w:sz w:val="19"/>
        </w:rPr>
        <w:t>(a) 0 to 6 cycles per year (Nyquist); (b) individual bins around k = 67.</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The spectrum is almost empty except for two lines exactly at 1 and 2 cycles per year: 2.843 ppm and 0.807 ppm, about 177 and 50 times the noise floor (0.016 ppm). The 3 and 4 cycle harmonics are tiny (0.068 and 0.072 ppm), so the seasonal cycle is well described by two sinusoids.</w:t>
            </w:r>
          </w:p>
          <w:p>
            <w:pPr>
              <w:pStyle w:val="ListBullet"/>
              <w:spacing w:after="20"/>
            </w:pPr>
            <w:r>
              <w:rPr>
                <w:sz w:val="20"/>
              </w:rPr>
              <w:t>Because N = 804 is a whole number of years, the annual line falls on a single bin: its neighbours are at noise level, i.e. there is no leakage. The small bump near 0 cycles per year is slow variation in the growth rate that a cubic trend does not capture.</w:t>
            </w:r>
          </w:p>
        </w:tc>
      </w:tr>
    </w:tbl>
    <w:p>
      <w:pPr>
        <w:spacing w:after="40"/>
      </w:pPr>
    </w:p>
    <w:p>
      <w:pPr>
        <w:keepNext/>
        <w:spacing w:before="80" w:after="40"/>
        <w:jc w:val="center"/>
      </w:pPr>
      <w:r>
        <w:drawing>
          <wp:inline xmlns:a="http://schemas.openxmlformats.org/drawingml/2006/main" xmlns:pic="http://schemas.openxmlformats.org/drawingml/2006/picture">
            <wp:extent cx="6120000" cy="2769033"/>
            <wp:docPr id="4" name="Picture 4"/>
            <wp:cNvGraphicFramePr>
              <a:graphicFrameLocks noChangeAspect="1"/>
            </wp:cNvGraphicFramePr>
            <a:graphic>
              <a:graphicData uri="http://schemas.openxmlformats.org/drawingml/2006/picture">
                <pic:pic>
                  <pic:nvPicPr>
                    <pic:cNvPr id="0" name="fig3_leakage.png"/>
                    <pic:cNvPicPr/>
                  </pic:nvPicPr>
                  <pic:blipFill>
                    <a:blip r:embed="rId14"/>
                    <a:stretch>
                      <a:fillRect/>
                    </a:stretch>
                  </pic:blipFill>
                  <pic:spPr>
                    <a:xfrm>
                      <a:off x="0" y="0"/>
                      <a:ext cx="6120000" cy="2769033"/>
                    </a:xfrm>
                    <a:prstGeom prst="rect"/>
                  </pic:spPr>
                </pic:pic>
              </a:graphicData>
            </a:graphic>
          </wp:inline>
        </w:drawing>
      </w:r>
    </w:p>
    <w:p>
      <w:pPr>
        <w:pStyle w:val="Caption"/>
        <w:keepNext/>
        <w:spacing w:after="160" w:before="40"/>
        <w:jc w:val="both"/>
      </w:pPr>
      <w:r>
        <w:rPr>
          <w:b/>
        </w:rPr>
        <w:t xml:space="preserve">Figure 4. </w:t>
      </w:r>
      <w:r>
        <w:rPr>
          <w:b/>
        </w:rPr>
        <w:t>Leakage, windowing and zero padding.</w:t>
      </w:r>
      <w:r>
        <w:t xml:space="preserve">  </w:t>
      </w:r>
      <w:r>
        <w:rPr>
          <w:sz w:val="19"/>
        </w:rPr>
        <w:t>(a) N = 804 versus N = 799 with rectangular and Hann windows; (b) Hann-windowed spectrum zero-padded ×8.</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With 799 months, N/12 is not an integer (the annual line sits 0.58 of a bin between bins), and the line leaks: its peak drops from 2.84 to 2.20 ppm and its energy spreads into neighbouring bins. The Hann window recovers the peak to 2.63 ppm and suppresses the far leakage, at the cost of a wider main lobe. Zero padding then shows the underlying curve: its maximum is 2.88 ppm at 1.0006 cycles per year, close to the true values. Zero padding interpolates; it does not sharpen the line.</w:t>
            </w:r>
          </w:p>
        </w:tc>
      </w:tr>
    </w:tbl>
    <w:p>
      <w:pPr>
        <w:spacing w:after="40"/>
      </w:pPr>
    </w:p>
    <w:p>
      <w:pPr>
        <w:keepNext/>
        <w:spacing w:before="80" w:after="40"/>
        <w:jc w:val="center"/>
      </w:pPr>
      <w:r>
        <w:drawing>
          <wp:inline xmlns:a="http://schemas.openxmlformats.org/drawingml/2006/main" xmlns:pic="http://schemas.openxmlformats.org/drawingml/2006/picture">
            <wp:extent cx="6120000" cy="3970655"/>
            <wp:docPr id="5" name="Picture 5"/>
            <wp:cNvGraphicFramePr>
              <a:graphicFrameLocks noChangeAspect="1"/>
            </wp:cNvGraphicFramePr>
            <a:graphic>
              <a:graphicData uri="http://schemas.openxmlformats.org/drawingml/2006/picture">
                <pic:pic>
                  <pic:nvPicPr>
                    <pic:cNvPr id="0" name="fig4_idft.png"/>
                    <pic:cNvPicPr/>
                  </pic:nvPicPr>
                  <pic:blipFill>
                    <a:blip r:embed="rId15"/>
                    <a:stretch>
                      <a:fillRect/>
                    </a:stretch>
                  </pic:blipFill>
                  <pic:spPr>
                    <a:xfrm>
                      <a:off x="0" y="0"/>
                      <a:ext cx="6120000" cy="3970655"/>
                    </a:xfrm>
                    <a:prstGeom prst="rect"/>
                  </pic:spPr>
                </pic:pic>
              </a:graphicData>
            </a:graphic>
          </wp:inline>
        </w:drawing>
      </w:r>
    </w:p>
    <w:p>
      <w:pPr>
        <w:pStyle w:val="Caption"/>
        <w:keepNext/>
        <w:spacing w:after="160" w:before="40"/>
        <w:jc w:val="both"/>
      </w:pPr>
      <w:r>
        <w:rPr>
          <w:b/>
        </w:rPr>
        <w:t xml:space="preserve">Figure 5. </w:t>
      </w:r>
      <w:r>
        <w:rPr>
          <w:b/>
        </w:rPr>
        <w:t>Synthesis and removal of the seasonal cycle with the IDFT.</w:t>
      </w:r>
      <w:r>
        <w:t xml:space="preserve">  </w:t>
      </w:r>
      <w:r>
        <w:rPr>
          <w:sz w:val="19"/>
        </w:rPr>
        <w:t>(a) Detrended signal and the IDFT of the two seasonal lines; (b) one year of the model; (c) deseasonalized CO₂ compared with NOAA's product (RMSE 0.165 ppm).</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Keeping only 4 of 804 DFT coefficients reproduces the seasonal oscillation and explains 88 % of the detrended variance; what is left (std 0.76 ppm) is weather-driven noise and year-to-year growth variation.</w:t>
            </w:r>
          </w:p>
          <w:p>
            <w:pPr>
              <w:pStyle w:val="ListBullet"/>
              <w:spacing w:after="20"/>
            </w:pPr>
            <w:r>
              <w:rPr>
                <w:sz w:val="20"/>
              </w:rPr>
              <w:t xml:space="preserve">CO₂ is highest in </w:t>
            </w:r>
            <w:r>
              <w:rPr>
                <w:b/>
                <w:sz w:val="20"/>
              </w:rPr>
              <w:t>May</w:t>
            </w:r>
            <w:r>
              <w:rPr>
                <w:sz w:val="20"/>
              </w:rPr>
              <w:t xml:space="preserve"> and lowest in </w:t>
            </w:r>
            <w:r>
              <w:rPr>
                <w:b/>
                <w:sz w:val="20"/>
              </w:rPr>
              <w:t>Oct</w:t>
            </w:r>
            <w:r>
              <w:rPr>
                <w:sz w:val="20"/>
              </w:rPr>
              <w:t>, a 6.2 ppm swing: the Northern Hemisphere biosphere draws CO₂ down through the growing season and releases it in autumn and winter.</w:t>
            </w:r>
          </w:p>
          <w:p>
            <w:pPr>
              <w:pStyle w:val="ListBullet"/>
              <w:spacing w:after="20"/>
            </w:pPr>
            <w:r>
              <w:rPr>
                <w:sz w:val="20"/>
              </w:rPr>
              <w:t>Subtracting the model gives a deseasonalized curve within 0.165 ppm of NOAA's official series, which is produced by a different method, so the simple DFT/IDFT filter is fit for purpose.</w:t>
            </w:r>
          </w:p>
        </w:tc>
      </w:tr>
    </w:tbl>
    <w:p>
      <w:pPr>
        <w:spacing w:after="40"/>
      </w:pPr>
    </w:p>
    <w:p>
      <w:pPr>
        <w:keepNext/>
        <w:spacing w:before="80" w:after="40"/>
        <w:jc w:val="center"/>
      </w:pPr>
      <w:r>
        <w:drawing>
          <wp:inline xmlns:a="http://schemas.openxmlformats.org/drawingml/2006/main" xmlns:pic="http://schemas.openxmlformats.org/drawingml/2006/picture">
            <wp:extent cx="6120000" cy="2742429"/>
            <wp:docPr id="6" name="Picture 6"/>
            <wp:cNvGraphicFramePr>
              <a:graphicFrameLocks noChangeAspect="1"/>
            </wp:cNvGraphicFramePr>
            <a:graphic>
              <a:graphicData uri="http://schemas.openxmlformats.org/drawingml/2006/picture">
                <pic:pic>
                  <pic:nvPicPr>
                    <pic:cNvPr id="0" name="fig5_decades_timing.png"/>
                    <pic:cNvPicPr/>
                  </pic:nvPicPr>
                  <pic:blipFill>
                    <a:blip r:embed="rId16"/>
                    <a:stretch>
                      <a:fillRect/>
                    </a:stretch>
                  </pic:blipFill>
                  <pic:spPr>
                    <a:xfrm>
                      <a:off x="0" y="0"/>
                      <a:ext cx="6120000" cy="2742429"/>
                    </a:xfrm>
                    <a:prstGeom prst="rect"/>
                  </pic:spPr>
                </pic:pic>
              </a:graphicData>
            </a:graphic>
          </wp:inline>
        </w:drawing>
      </w:r>
    </w:p>
    <w:p>
      <w:pPr>
        <w:pStyle w:val="Caption"/>
        <w:keepNext/>
        <w:spacing w:after="160" w:before="40"/>
        <w:jc w:val="both"/>
      </w:pPr>
      <w:r>
        <w:rPr>
          <w:b/>
        </w:rPr>
        <w:t xml:space="preserve">Figure 6. </w:t>
      </w:r>
      <w:r>
        <w:rPr>
          <w:b/>
        </w:rPr>
        <w:t>Long-term changes and computational cost.</w:t>
      </w:r>
      <w:r>
        <w:t xml:space="preserve">  </w:t>
      </w:r>
      <w:r>
        <w:rPr>
          <w:sz w:val="19"/>
        </w:rPr>
        <w:t>(a) Peak-to-trough seasonal swing per decade (IDFT of two lines); (b) growth rate of the trend; (c) time for one transform.</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The seasonal swing grew from 5.81, 5.89, 6.17, 6.50, 6.31, 6.64 ppm decade by decade, about 14 % in total, consistent with published reports of a strengthening seasonal exchange in the north. Meanwhile the growth rate of CO₂ itself nearly tripled.</w:t>
            </w:r>
          </w:p>
          <w:p>
            <w:pPr>
              <w:pStyle w:val="ListBullet"/>
              <w:spacing w:after="20"/>
            </w:pPr>
            <w:r>
              <w:rPr>
                <w:sz w:val="20"/>
              </w:rPr>
              <w:t>The DFT matrix takes 120 ms for N = 804 and grows as N²; the FFT takes 0.09 ms, about 1271 times faster. The FFT is slower for N = 804 than for N = 1024 (0.06 ms) because 804 = 4·3·67 has a large prime factor.</w:t>
            </w:r>
          </w:p>
        </w:tc>
      </w:tr>
    </w:tbl>
    <w:p>
      <w:pPr>
        <w:spacing w:after="40"/>
      </w:pPr>
    </w:p>
    <w:p>
      <w:pPr>
        <w:pStyle w:val="Caption"/>
        <w:keepNext/>
        <w:spacing w:after="60" w:before="120"/>
        <w:jc w:val="center"/>
      </w:pPr>
      <w:r>
        <w:rPr>
          <w:b/>
        </w:rPr>
        <w:t xml:space="preserve">Table 6. </w:t>
      </w:r>
      <w:r>
        <w:rPr>
          <w:b/>
        </w:rPr>
        <w:t>Summary of results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45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510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Result</w:t>
            </w:r>
          </w:p>
        </w:tc>
      </w:tr>
      <w:tr>
        <w:trPr>
          <w:cantSplit/>
        </w:trPr>
        <w:tc>
          <w:tcPr>
            <w:tcW w:type="dxa" w:w="4535"/>
            <w:vAlign w:val="center"/>
            <w:tcMar>
              <w:top w:w="40" w:type="dxa"/>
              <w:bottom w:w="40" w:type="dxa"/>
              <w:start w:w="90" w:type="dxa"/>
              <w:end w:w="90" w:type="dxa"/>
            </w:tcMar>
          </w:tcPr>
          <w:p>
            <w:pPr>
              <w:keepNext/>
              <w:spacing w:after="0" w:line="240" w:lineRule="auto"/>
              <w:jc w:val="left"/>
            </w:pPr>
            <w:r>
              <w:rPr>
                <w:b/>
                <w:sz w:val="18"/>
              </w:rPr>
              <w:t>DFT matrix / definition versus FFT</w:t>
            </w:r>
          </w:p>
        </w:tc>
        <w:tc>
          <w:tcPr>
            <w:tcW w:type="dxa" w:w="5102"/>
            <w:vAlign w:val="center"/>
            <w:tcMar>
              <w:top w:w="40" w:type="dxa"/>
              <w:bottom w:w="40" w:type="dxa"/>
              <w:start w:w="90" w:type="dxa"/>
              <w:end w:w="90" w:type="dxa"/>
            </w:tcMar>
          </w:tcPr>
          <w:p>
            <w:pPr>
              <w:keepNext/>
              <w:spacing w:after="0" w:line="240" w:lineRule="auto"/>
              <w:jc w:val="left"/>
            </w:pPr>
            <w:r>
              <w:rPr>
                <w:sz w:val="18"/>
              </w:rPr>
              <w:t>1e-13 / 4e-14</w:t>
            </w:r>
          </w:p>
        </w:tc>
      </w:tr>
      <w:tr>
        <w:trPr>
          <w:cantSplit/>
        </w:trPr>
        <w:tc>
          <w:tcPr>
            <w:tcW w:type="dxa" w:w="4535"/>
            <w:vAlign w:val="center"/>
            <w:tcMar>
              <w:top w:w="40" w:type="dxa"/>
              <w:bottom w:w="40" w:type="dxa"/>
              <w:start w:w="90" w:type="dxa"/>
              <w:end w:w="90" w:type="dxa"/>
            </w:tcMar>
            <w:shd w:val="clear" w:color="auto" w:fill="F5F4F0"/>
          </w:tcPr>
          <w:p>
            <w:pPr>
              <w:keepNext/>
              <w:spacing w:after="0" w:line="240" w:lineRule="auto"/>
              <w:jc w:val="left"/>
            </w:pPr>
            <w:r>
              <w:rPr>
                <w:b/>
                <w:sz w:val="18"/>
              </w:rPr>
              <w:t>IDFT reconstruction error; Parseval; symmetry</w:t>
            </w:r>
          </w:p>
        </w:tc>
        <w:tc>
          <w:tcPr>
            <w:tcW w:type="dxa" w:w="5102"/>
            <w:vAlign w:val="center"/>
            <w:tcMar>
              <w:top w:w="40" w:type="dxa"/>
              <w:bottom w:w="40" w:type="dxa"/>
              <w:start w:w="90" w:type="dxa"/>
              <w:end w:w="90" w:type="dxa"/>
            </w:tcMar>
            <w:shd w:val="clear" w:color="auto" w:fill="F5F4F0"/>
          </w:tcPr>
          <w:p>
            <w:pPr>
              <w:keepNext/>
              <w:spacing w:after="0" w:line="240" w:lineRule="auto"/>
              <w:jc w:val="left"/>
            </w:pPr>
            <w:r>
              <w:rPr>
                <w:sz w:val="18"/>
              </w:rPr>
              <w:t>1e-12 ppm; 1e-16; 1e-16</w:t>
            </w:r>
          </w:p>
        </w:tc>
      </w:tr>
      <w:tr>
        <w:trPr>
          <w:cantSplit/>
        </w:trPr>
        <w:tc>
          <w:tcPr>
            <w:tcW w:type="dxa" w:w="4535"/>
            <w:vAlign w:val="center"/>
            <w:tcMar>
              <w:top w:w="40" w:type="dxa"/>
              <w:bottom w:w="40" w:type="dxa"/>
              <w:start w:w="90" w:type="dxa"/>
              <w:end w:w="90" w:type="dxa"/>
            </w:tcMar>
          </w:tcPr>
          <w:p>
            <w:pPr>
              <w:keepNext/>
              <w:spacing w:after="0" w:line="240" w:lineRule="auto"/>
              <w:jc w:val="left"/>
            </w:pPr>
            <w:r>
              <w:rPr>
                <w:b/>
                <w:sz w:val="18"/>
              </w:rPr>
              <w:t>Annual / semi-annual line</w:t>
            </w:r>
          </w:p>
        </w:tc>
        <w:tc>
          <w:tcPr>
            <w:tcW w:type="dxa" w:w="5102"/>
            <w:vAlign w:val="center"/>
            <w:tcMar>
              <w:top w:w="40" w:type="dxa"/>
              <w:bottom w:w="40" w:type="dxa"/>
              <w:start w:w="90" w:type="dxa"/>
              <w:end w:w="90" w:type="dxa"/>
            </w:tcMar>
          </w:tcPr>
          <w:p>
            <w:pPr>
              <w:keepNext/>
              <w:spacing w:after="0" w:line="240" w:lineRule="auto"/>
              <w:jc w:val="left"/>
            </w:pPr>
            <w:r>
              <w:rPr>
                <w:sz w:val="18"/>
              </w:rPr>
              <w:t>2.843 / 0.807 ppm at 1.000 / 2.000 cy/yr</w:t>
            </w:r>
          </w:p>
        </w:tc>
      </w:tr>
      <w:tr>
        <w:trPr>
          <w:cantSplit/>
        </w:trPr>
        <w:tc>
          <w:tcPr>
            <w:tcW w:type="dxa" w:w="4535"/>
            <w:vAlign w:val="center"/>
            <w:tcMar>
              <w:top w:w="40" w:type="dxa"/>
              <w:bottom w:w="40" w:type="dxa"/>
              <w:start w:w="90" w:type="dxa"/>
              <w:end w:w="90" w:type="dxa"/>
            </w:tcMar>
            <w:shd w:val="clear" w:color="auto" w:fill="F5F4F0"/>
          </w:tcPr>
          <w:p>
            <w:pPr>
              <w:keepNext/>
              <w:spacing w:after="0" w:line="240" w:lineRule="auto"/>
              <w:jc w:val="left"/>
            </w:pPr>
            <w:r>
              <w:rPr>
                <w:b/>
                <w:sz w:val="18"/>
              </w:rPr>
              <w:t>Seasonal maximum, minimum, swing</w:t>
            </w:r>
          </w:p>
        </w:tc>
        <w:tc>
          <w:tcPr>
            <w:tcW w:type="dxa" w:w="5102"/>
            <w:vAlign w:val="center"/>
            <w:tcMar>
              <w:top w:w="40" w:type="dxa"/>
              <w:bottom w:w="40" w:type="dxa"/>
              <w:start w:w="90" w:type="dxa"/>
              <w:end w:w="90" w:type="dxa"/>
            </w:tcMar>
            <w:shd w:val="clear" w:color="auto" w:fill="F5F4F0"/>
          </w:tcPr>
          <w:p>
            <w:pPr>
              <w:keepNext/>
              <w:spacing w:after="0" w:line="240" w:lineRule="auto"/>
              <w:jc w:val="left"/>
            </w:pPr>
            <w:r>
              <w:rPr>
                <w:sz w:val="18"/>
              </w:rPr>
              <w:t>May, Oct, 6.22 ppm</w:t>
            </w:r>
          </w:p>
        </w:tc>
      </w:tr>
      <w:tr>
        <w:trPr>
          <w:cantSplit/>
        </w:trPr>
        <w:tc>
          <w:tcPr>
            <w:tcW w:type="dxa" w:w="4535"/>
            <w:vAlign w:val="center"/>
            <w:tcMar>
              <w:top w:w="40" w:type="dxa"/>
              <w:bottom w:w="40" w:type="dxa"/>
              <w:start w:w="90" w:type="dxa"/>
              <w:end w:w="90" w:type="dxa"/>
            </w:tcMar>
          </w:tcPr>
          <w:p>
            <w:pPr>
              <w:keepNext/>
              <w:spacing w:after="0" w:line="240" w:lineRule="auto"/>
              <w:jc w:val="left"/>
            </w:pPr>
            <w:r>
              <w:rPr>
                <w:b/>
                <w:sz w:val="18"/>
              </w:rPr>
              <w:t>Deseasonalized versus NOAA (RMSE)</w:t>
            </w:r>
          </w:p>
        </w:tc>
        <w:tc>
          <w:tcPr>
            <w:tcW w:type="dxa" w:w="5102"/>
            <w:vAlign w:val="center"/>
            <w:tcMar>
              <w:top w:w="40" w:type="dxa"/>
              <w:bottom w:w="40" w:type="dxa"/>
              <w:start w:w="90" w:type="dxa"/>
              <w:end w:w="90" w:type="dxa"/>
            </w:tcMar>
          </w:tcPr>
          <w:p>
            <w:pPr>
              <w:keepNext/>
              <w:spacing w:after="0" w:line="240" w:lineRule="auto"/>
              <w:jc w:val="left"/>
            </w:pPr>
            <w:r>
              <w:rPr>
                <w:sz w:val="18"/>
              </w:rPr>
              <w:t>0.165 ppm</w:t>
            </w:r>
          </w:p>
        </w:tc>
      </w:tr>
      <w:tr>
        <w:trPr>
          <w:cantSplit/>
        </w:trPr>
        <w:tc>
          <w:tcPr>
            <w:tcW w:type="dxa" w:w="4535"/>
            <w:vAlign w:val="center"/>
            <w:tcMar>
              <w:top w:w="40" w:type="dxa"/>
              <w:bottom w:w="40" w:type="dxa"/>
              <w:start w:w="90" w:type="dxa"/>
              <w:end w:w="90" w:type="dxa"/>
            </w:tcMar>
            <w:shd w:val="clear" w:color="auto" w:fill="F5F4F0"/>
          </w:tcPr>
          <w:p>
            <w:pPr>
              <w:keepNext/>
              <w:spacing w:after="0" w:line="240" w:lineRule="auto"/>
              <w:jc w:val="left"/>
            </w:pPr>
            <w:r>
              <w:rPr>
                <w:b/>
                <w:sz w:val="18"/>
              </w:rPr>
              <w:t>Leakage (N = 799): rectangular / Hann / Hann + padding</w:t>
            </w:r>
          </w:p>
        </w:tc>
        <w:tc>
          <w:tcPr>
            <w:tcW w:type="dxa" w:w="5102"/>
            <w:vAlign w:val="center"/>
            <w:tcMar>
              <w:top w:w="40" w:type="dxa"/>
              <w:bottom w:w="40" w:type="dxa"/>
              <w:start w:w="90" w:type="dxa"/>
              <w:end w:w="90" w:type="dxa"/>
            </w:tcMar>
            <w:shd w:val="clear" w:color="auto" w:fill="F5F4F0"/>
          </w:tcPr>
          <w:p>
            <w:pPr>
              <w:keepNext/>
              <w:spacing w:after="0" w:line="240" w:lineRule="auto"/>
              <w:jc w:val="left"/>
            </w:pPr>
            <w:r>
              <w:rPr>
                <w:sz w:val="18"/>
              </w:rPr>
              <w:t>2.20 / 2.63 / 2.88 ppm</w:t>
            </w:r>
          </w:p>
        </w:tc>
      </w:tr>
      <w:tr>
        <w:trPr>
          <w:cantSplit/>
        </w:trPr>
        <w:tc>
          <w:tcPr>
            <w:tcW w:type="dxa" w:w="4535"/>
            <w:vAlign w:val="center"/>
            <w:tcMar>
              <w:top w:w="40" w:type="dxa"/>
              <w:bottom w:w="40" w:type="dxa"/>
              <w:start w:w="90" w:type="dxa"/>
              <w:end w:w="90" w:type="dxa"/>
            </w:tcMar>
          </w:tcPr>
          <w:p>
            <w:pPr>
              <w:keepNext/>
              <w:spacing w:after="0" w:line="240" w:lineRule="auto"/>
              <w:jc w:val="left"/>
            </w:pPr>
            <w:r>
              <w:rPr>
                <w:b/>
                <w:sz w:val="18"/>
              </w:rPr>
              <w:t>Seasonal swing 1959-1968 / 2009-2018</w:t>
            </w:r>
          </w:p>
        </w:tc>
        <w:tc>
          <w:tcPr>
            <w:tcW w:type="dxa" w:w="5102"/>
            <w:vAlign w:val="center"/>
            <w:tcMar>
              <w:top w:w="40" w:type="dxa"/>
              <w:bottom w:w="40" w:type="dxa"/>
              <w:start w:w="90" w:type="dxa"/>
              <w:end w:w="90" w:type="dxa"/>
            </w:tcMar>
          </w:tcPr>
          <w:p>
            <w:pPr>
              <w:keepNext/>
              <w:spacing w:after="0" w:line="240" w:lineRule="auto"/>
              <w:jc w:val="left"/>
            </w:pPr>
            <w:r>
              <w:rPr>
                <w:sz w:val="18"/>
              </w:rPr>
              <w:t>5.81 / 6.64 ppm</w:t>
            </w:r>
          </w:p>
        </w:tc>
      </w:tr>
      <w:tr>
        <w:trPr>
          <w:cantSplit/>
        </w:trPr>
        <w:tc>
          <w:tcPr>
            <w:tcW w:type="dxa" w:w="4535"/>
            <w:vAlign w:val="center"/>
            <w:tcMar>
              <w:top w:w="40" w:type="dxa"/>
              <w:bottom w:w="40" w:type="dxa"/>
              <w:start w:w="90" w:type="dxa"/>
              <w:end w:w="90" w:type="dxa"/>
            </w:tcMar>
            <w:shd w:val="clear" w:color="auto" w:fill="F5F4F0"/>
          </w:tcPr>
          <w:p>
            <w:pPr>
              <w:spacing w:after="0" w:line="240" w:lineRule="auto"/>
              <w:jc w:val="left"/>
            </w:pPr>
            <w:r>
              <w:rPr>
                <w:b/>
                <w:sz w:val="18"/>
              </w:rPr>
              <w:t>FFT speed-up at N = 804</w:t>
            </w:r>
          </w:p>
        </w:tc>
        <w:tc>
          <w:tcPr>
            <w:tcW w:type="dxa" w:w="5102"/>
            <w:vAlign w:val="center"/>
            <w:tcMar>
              <w:top w:w="40" w:type="dxa"/>
              <w:bottom w:w="40" w:type="dxa"/>
              <w:start w:w="90" w:type="dxa"/>
              <w:end w:w="90" w:type="dxa"/>
            </w:tcMar>
            <w:shd w:val="clear" w:color="auto" w:fill="F5F4F0"/>
          </w:tcPr>
          <w:p>
            <w:pPr>
              <w:spacing w:after="0" w:line="240" w:lineRule="auto"/>
              <w:jc w:val="left"/>
            </w:pPr>
            <w:r>
              <w:rPr>
                <w:sz w:val="18"/>
              </w:rPr>
              <w:t>1271 ×</w:t>
            </w:r>
          </w:p>
        </w:tc>
      </w:tr>
    </w:tbl>
    <w:p>
      <w:pPr>
        <w:spacing w:after="40"/>
      </w:pPr>
    </w:p>
    <w:p>
      <w:pPr>
        <w:pStyle w:val="Heading1"/>
      </w:pPr>
      <w:r>
        <w:t>8.  Conclusion</w:t>
      </w:r>
    </w:p>
    <w:p>
      <w:pPr>
        <w:keepNext w:val="0"/>
        <w:jc w:val="both"/>
      </w:pPr>
      <w:r>
        <w:t>The DFT and IDFT were implemented from first principles and verified against the FFT and against their defining properties to machine precision. Applied to the Keeling Curve, the DFT reduced 67 years of monthly data to two numbers that matter, the 2.84 ppm annual and 0.81 ppm semi-annual lines, and the IDFT of those lines alone rebuilt the planet's seasonal breathing (maximum in May, minimum in Oct) well enough to reproduce NOAA's deseasonalized record within 0.17 ppm. The experiment also exposed the practical side of the transform: choose N to contain whole periods or use a window to control leakage, remember that zero padding interpolates but does not resolve, and use the FFT, ideally with a highly composite N, because the direct sum quickly becomes too slow.</w:t>
      </w:r>
    </w:p>
    <w:p>
      <w:pPr>
        <w:pStyle w:val="Heading1"/>
      </w:pPr>
      <w:r>
        <w:t>9.  Learning Outcomes</w:t>
      </w:r>
    </w:p>
    <w:p>
      <w:pPr>
        <w:pStyle w:val="ListBullet"/>
        <w:jc w:val="both"/>
      </w:pPr>
      <w:r>
        <w:t>Compute the DFT and IDFT by definition, as a matrix product and with the FFT.</w:t>
      </w:r>
    </w:p>
    <w:p>
      <w:pPr>
        <w:pStyle w:val="ListBullet"/>
        <w:jc w:val="both"/>
      </w:pPr>
      <w:r>
        <w:t>Convert bins to frequencies and read amplitudes and phases of sinusoidal components.</w:t>
      </w:r>
    </w:p>
    <w:p>
      <w:pPr>
        <w:pStyle w:val="ListBullet"/>
        <w:jc w:val="both"/>
      </w:pPr>
      <w:r>
        <w:t>Explain and control spectral leakage with record length, windowing and zero padding.</w:t>
      </w:r>
    </w:p>
    <w:p>
      <w:pPr>
        <w:pStyle w:val="ListBullet"/>
        <w:jc w:val="both"/>
      </w:pPr>
      <w:r>
        <w:t>Filter in the frequency domain by editing DFT coefficients and inverting with the IDFT.</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8 and 9.</w:t>
      </w:r>
    </w:p>
    <w:p>
      <w:pPr>
        <w:keepNext w:val="0"/>
        <w:spacing w:after="20"/>
        <w:jc w:val="left"/>
      </w:pPr>
      <w:r>
        <w:rPr>
          <w:sz w:val="19"/>
        </w:rPr>
        <w:t xml:space="preserve">[2]  F. J. Harris, “On the use of windows for harmonic analysis with the discrete Fourier transform,” </w:t>
      </w:r>
      <w:r>
        <w:rPr>
          <w:i/>
          <w:sz w:val="19"/>
        </w:rPr>
        <w:t>Proc. IEEE</w:t>
      </w:r>
      <w:r>
        <w:rPr>
          <w:sz w:val="19"/>
        </w:rPr>
        <w:t>, vol. 66, no. 1, pp. 51-83, 1978.</w:t>
      </w:r>
    </w:p>
    <w:p>
      <w:pPr>
        <w:keepNext w:val="0"/>
        <w:spacing w:after="20"/>
        <w:jc w:val="left"/>
      </w:pPr>
      <w:r>
        <w:rPr>
          <w:sz w:val="19"/>
        </w:rPr>
        <w:t>[3]  X. Lan, P. Tans and K. W. Thoning, “Trends in globally-averaged CO₂ determined from NOAA Global Monitoring Laboratory measurements,” NOAA GML, https://gml.noaa.gov/ccgg/trends/.</w:t>
      </w:r>
    </w:p>
    <w:p>
      <w:pPr>
        <w:keepNext w:val="0"/>
        <w:spacing w:after="20"/>
        <w:jc w:val="left"/>
      </w:pPr>
      <w:r>
        <w:rPr>
          <w:sz w:val="19"/>
        </w:rPr>
        <w:t xml:space="preserve">[4]  C. D. Keeling, “The concentration and isotopic abundances of carbon dioxide in the atmosphere,” </w:t>
      </w:r>
      <w:r>
        <w:rPr>
          <w:i/>
          <w:sz w:val="19"/>
        </w:rPr>
        <w:t>Tellus</w:t>
      </w:r>
      <w:r>
        <w:rPr>
          <w:sz w:val="19"/>
        </w:rPr>
        <w:t>, vol. 12, pp. 200-203, 1960.</w:t>
      </w:r>
    </w:p>
    <w:p>
      <w:pPr>
        <w:keepNext w:val="0"/>
        <w:spacing w:after="20"/>
        <w:jc w:val="left"/>
      </w:pPr>
      <w:r>
        <w:rPr>
          <w:sz w:val="19"/>
        </w:rPr>
        <w:t xml:space="preserve">[5]  H. D. Graven et al., “Enhanced seasonal exchange of CO₂ by northern ecosystems since 1960,” </w:t>
      </w:r>
      <w:r>
        <w:rPr>
          <w:i/>
          <w:sz w:val="19"/>
        </w:rPr>
        <w:t>Science</w:t>
      </w:r>
      <w:r>
        <w:rPr>
          <w:sz w:val="19"/>
        </w:rPr>
        <w:t>, vol. 341, pp. 1085-1089, 2013.</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8  ·  DFT and IDFT</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