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05</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Autocorrelation</w:t>
      </w:r>
    </w:p>
    <w:p>
      <w:pPr>
        <w:spacing w:after="200"/>
        <w:jc w:val="center"/>
      </w:pPr>
      <w:r>
        <w:rPr>
          <w:i/>
          <w:color w:val="404040"/>
          <w:sz w:val="23"/>
        </w:rPr>
        <w:t>Measuring the solar cycle from 277 years of sunspot observations</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The autocorrelation of the international monthly sunspot number (3,333 months, 1749 to 2026) was computed by the direct definition, by convolution with the folded sequence and through the power spectrum (Wiener-Khinchin); the three agreed to 4e-16. The normalised autocorrelation has its first peak at 127.8 months, i.e. a solar cycle of 10.65 years (ρ = 0.579), with repeats at 2, 3 and 4 cycles whose decreasing height (0.35, 0.25, 0.19) measures the cycle-to-cycle irregularity. The series decorrelates after 36 months, the period was stable at 10.7 to 11.0 years since 1818 but only 9.3 years in the irregular 18th century, and the cycle was still detected when buried in white noise at an SNR of -10 dB. The leftover month-to-month variation is not white noise, which the 95 % confidence band reveals.</w:t>
            </w:r>
          </w:p>
          <w:p>
            <w:pPr>
              <w:spacing w:after="0"/>
            </w:pPr>
            <w:r>
              <w:rPr>
                <w:b/>
                <w:i/>
                <w:sz w:val="20"/>
              </w:rPr>
              <w:t xml:space="preserve">Keywords: </w:t>
            </w:r>
            <w:r>
              <w:rPr>
                <w:i/>
                <w:sz w:val="20"/>
              </w:rPr>
              <w:t>autocorrelation, periodicity, Wiener-Khinchin, white-noise test, sunspot number, solar cycle, space weather, Python</w:t>
            </w:r>
          </w:p>
        </w:tc>
      </w:tr>
    </w:tbl>
    <w:p>
      <w:pPr>
        <w:spacing w:after="0"/>
      </w:pPr>
    </w:p>
    <w:p>
      <w:pPr>
        <w:pStyle w:val="Heading1"/>
      </w:pPr>
      <w:r>
        <w:t>1.  Aim and Objectives</w:t>
      </w:r>
    </w:p>
    <w:p>
      <w:pPr>
        <w:keepNext w:val="0"/>
        <w:spacing w:after="60"/>
        <w:jc w:val="both"/>
      </w:pPr>
      <w:r>
        <w:rPr>
          <w:b/>
        </w:rPr>
        <w:t>Aim:</w:t>
      </w:r>
      <w:r>
        <w:t xml:space="preserve"> to study the autocorrelation of a discrete-time signal, verify its properties, and use it to detect hidden periodicity and to test for randomness in a real-world signal, in Python.</w:t>
      </w:r>
    </w:p>
    <w:p>
      <w:pPr>
        <w:pStyle w:val="ListBullet"/>
        <w:jc w:val="both"/>
      </w:pPr>
      <w:r>
        <w:t>Compute autocorrelation three ways and verify symmetry, the maximum at zero lag and r[0] = energy.</w:t>
      </w:r>
    </w:p>
    <w:p>
      <w:pPr>
        <w:pStyle w:val="ListBullet"/>
        <w:jc w:val="both"/>
      </w:pPr>
      <w:r>
        <w:t>Estimate the period of the solar cycle and how it changed over 277 years.</w:t>
      </w:r>
    </w:p>
    <w:p>
      <w:pPr>
        <w:pStyle w:val="ListBullet"/>
        <w:jc w:val="both"/>
      </w:pPr>
      <w:r>
        <w:t>Test whether the residual variation is white noise, and how much noise periodicity detection tolerates.</w:t>
      </w:r>
    </w:p>
    <w:p>
      <w:pPr>
        <w:pStyle w:val="Heading1"/>
      </w:pPr>
      <w:r>
        <w:t>2.  Real-World Application</w:t>
      </w:r>
    </w:p>
    <w:p>
      <w:pPr>
        <w:keepNext w:val="0"/>
        <w:jc w:val="both"/>
      </w:pPr>
      <w:r>
        <w:t>The Sun's activity rises and falls in a cycle of roughly 11 years, and sunspots are its oldest and most reliable measure. Solar maximum brings more flares and geomagnetic storms, which heat and expand the upper atmosphere, increase drag on low-orbit satellites, disturb GPS and HF radio, and induce currents in power grids. Satellite operators, ISRO's Aditya-L1 mission team, airlines on polar routes and grid operators therefore plan around the cycle, and the first step is to measure its period from data. Autocorrelation does exactly that: it compares a signal with delayed copies of itself, so any repetition shows up as a peak at the repetition lag even when it is hard to see in the raw data (Table 1).</w:t>
      </w:r>
    </w:p>
    <w:p>
      <w:pPr>
        <w:pStyle w:val="Caption"/>
        <w:keepNext/>
        <w:spacing w:after="60" w:before="120"/>
        <w:jc w:val="center"/>
      </w:pPr>
      <w:r>
        <w:rPr>
          <w:b/>
        </w:rPr>
        <w:t xml:space="preserve">Table 1. </w:t>
      </w:r>
      <w:r>
        <w:rPr>
          <w:b/>
        </w:rPr>
        <w:t>Uses of autocorrelation</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Field</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Signal</w:t>
            </w:r>
          </w:p>
        </w:tc>
        <w:tc>
          <w:tcPr>
            <w:tcW w:type="dxa" w:w="510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What the autocorrelation reveals</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b/>
                <w:sz w:val="18"/>
              </w:rPr>
              <w:t>Space weather</w:t>
            </w:r>
          </w:p>
        </w:tc>
        <w:tc>
          <w:tcPr>
            <w:tcW w:type="dxa" w:w="2608"/>
            <w:vAlign w:val="center"/>
            <w:tcMar>
              <w:top w:w="40" w:type="dxa"/>
              <w:bottom w:w="40" w:type="dxa"/>
              <w:start w:w="90" w:type="dxa"/>
              <w:end w:w="90" w:type="dxa"/>
            </w:tcMar>
          </w:tcPr>
          <w:p>
            <w:pPr>
              <w:keepNext/>
              <w:spacing w:after="0" w:line="240" w:lineRule="auto"/>
              <w:jc w:val="left"/>
            </w:pPr>
            <w:r>
              <w:rPr>
                <w:sz w:val="18"/>
              </w:rPr>
              <w:t>monthly sunspot number</w:t>
            </w:r>
          </w:p>
        </w:tc>
        <w:tc>
          <w:tcPr>
            <w:tcW w:type="dxa" w:w="5102"/>
            <w:vAlign w:val="center"/>
            <w:tcMar>
              <w:top w:w="40" w:type="dxa"/>
              <w:bottom w:w="40" w:type="dxa"/>
              <w:start w:w="90" w:type="dxa"/>
              <w:end w:w="90" w:type="dxa"/>
            </w:tcMar>
          </w:tcPr>
          <w:p>
            <w:pPr>
              <w:keepNext/>
              <w:spacing w:after="0" w:line="240" w:lineRule="auto"/>
              <w:jc w:val="left"/>
            </w:pPr>
            <w:r>
              <w:rPr>
                <w:sz w:val="18"/>
              </w:rPr>
              <w:t>solar-cycle period, decorrelation time, predictability</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b/>
                <w:sz w:val="18"/>
              </w:rPr>
              <w:t>Speech processing</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8"/>
              </w:rPr>
              <w:t>voiced speech frame</w:t>
            </w:r>
          </w:p>
        </w:tc>
        <w:tc>
          <w:tcPr>
            <w:tcW w:type="dxa" w:w="5102"/>
            <w:vAlign w:val="center"/>
            <w:tcMar>
              <w:top w:w="40" w:type="dxa"/>
              <w:bottom w:w="40" w:type="dxa"/>
              <w:start w:w="90" w:type="dxa"/>
              <w:end w:w="90" w:type="dxa"/>
            </w:tcMar>
            <w:shd w:val="clear" w:color="auto" w:fill="F5F4F0"/>
          </w:tcPr>
          <w:p>
            <w:pPr>
              <w:keepNext/>
              <w:spacing w:after="0" w:line="240" w:lineRule="auto"/>
              <w:jc w:val="left"/>
            </w:pPr>
            <w:r>
              <w:rPr>
                <w:sz w:val="18"/>
              </w:rPr>
              <w:t>pitch period (fundamental frequency) of the speaker</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b/>
                <w:sz w:val="18"/>
              </w:rPr>
              <w:t>Radar and sonar</w:t>
            </w:r>
          </w:p>
        </w:tc>
        <w:tc>
          <w:tcPr>
            <w:tcW w:type="dxa" w:w="2608"/>
            <w:vAlign w:val="center"/>
            <w:tcMar>
              <w:top w:w="40" w:type="dxa"/>
              <w:bottom w:w="40" w:type="dxa"/>
              <w:start w:w="90" w:type="dxa"/>
              <w:end w:w="90" w:type="dxa"/>
            </w:tcMar>
          </w:tcPr>
          <w:p>
            <w:pPr>
              <w:keepNext/>
              <w:spacing w:after="0" w:line="240" w:lineRule="auto"/>
              <w:jc w:val="left"/>
            </w:pPr>
            <w:r>
              <w:rPr>
                <w:sz w:val="18"/>
              </w:rPr>
              <w:t>echo of a coded pulse</w:t>
            </w:r>
          </w:p>
        </w:tc>
        <w:tc>
          <w:tcPr>
            <w:tcW w:type="dxa" w:w="5102"/>
            <w:vAlign w:val="center"/>
            <w:tcMar>
              <w:top w:w="40" w:type="dxa"/>
              <w:bottom w:w="40" w:type="dxa"/>
              <w:start w:w="90" w:type="dxa"/>
              <w:end w:w="90" w:type="dxa"/>
            </w:tcMar>
          </w:tcPr>
          <w:p>
            <w:pPr>
              <w:keepNext/>
              <w:spacing w:after="0" w:line="240" w:lineRule="auto"/>
              <w:jc w:val="left"/>
            </w:pPr>
            <w:r>
              <w:rPr>
                <w:sz w:val="18"/>
              </w:rPr>
              <w:t>sharp peak at zero lag gives fine range resolution</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b/>
                <w:sz w:val="18"/>
              </w:rPr>
              <w:t>Machine monitoring</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8"/>
              </w:rPr>
              <w:t>bearing vibration</w:t>
            </w:r>
          </w:p>
        </w:tc>
        <w:tc>
          <w:tcPr>
            <w:tcW w:type="dxa" w:w="5102"/>
            <w:vAlign w:val="center"/>
            <w:tcMar>
              <w:top w:w="40" w:type="dxa"/>
              <w:bottom w:w="40" w:type="dxa"/>
              <w:start w:w="90" w:type="dxa"/>
              <w:end w:w="90" w:type="dxa"/>
            </w:tcMar>
            <w:shd w:val="clear" w:color="auto" w:fill="F5F4F0"/>
          </w:tcPr>
          <w:p>
            <w:pPr>
              <w:keepNext/>
              <w:spacing w:after="0" w:line="240" w:lineRule="auto"/>
              <w:jc w:val="left"/>
            </w:pPr>
            <w:r>
              <w:rPr>
                <w:sz w:val="18"/>
              </w:rPr>
              <w:t>repetition rate of a defect hitting the race</w:t>
            </w:r>
          </w:p>
        </w:tc>
      </w:tr>
      <w:tr>
        <w:trPr>
          <w:cantSplit/>
        </w:trPr>
        <w:tc>
          <w:tcPr>
            <w:tcW w:type="dxa" w:w="1928"/>
            <w:vAlign w:val="center"/>
            <w:tcMar>
              <w:top w:w="40" w:type="dxa"/>
              <w:bottom w:w="40" w:type="dxa"/>
              <w:start w:w="90" w:type="dxa"/>
              <w:end w:w="90" w:type="dxa"/>
            </w:tcMar>
          </w:tcPr>
          <w:p>
            <w:pPr>
              <w:spacing w:after="0" w:line="240" w:lineRule="auto"/>
              <w:jc w:val="left"/>
            </w:pPr>
            <w:r>
              <w:rPr>
                <w:b/>
                <w:sz w:val="18"/>
              </w:rPr>
              <w:t>Statistics, finance</w:t>
            </w:r>
          </w:p>
        </w:tc>
        <w:tc>
          <w:tcPr>
            <w:tcW w:type="dxa" w:w="2608"/>
            <w:vAlign w:val="center"/>
            <w:tcMar>
              <w:top w:w="40" w:type="dxa"/>
              <w:bottom w:w="40" w:type="dxa"/>
              <w:start w:w="90" w:type="dxa"/>
              <w:end w:w="90" w:type="dxa"/>
            </w:tcMar>
          </w:tcPr>
          <w:p>
            <w:pPr>
              <w:spacing w:after="0" w:line="240" w:lineRule="auto"/>
              <w:jc w:val="left"/>
            </w:pPr>
            <w:r>
              <w:rPr>
                <w:sz w:val="18"/>
              </w:rPr>
              <w:t>residuals of a model</w:t>
            </w:r>
          </w:p>
        </w:tc>
        <w:tc>
          <w:tcPr>
            <w:tcW w:type="dxa" w:w="5102"/>
            <w:vAlign w:val="center"/>
            <w:tcMar>
              <w:top w:w="40" w:type="dxa"/>
              <w:bottom w:w="40" w:type="dxa"/>
              <w:start w:w="90" w:type="dxa"/>
              <w:end w:w="90" w:type="dxa"/>
            </w:tcMar>
          </w:tcPr>
          <w:p>
            <w:pPr>
              <w:spacing w:after="0" w:line="240" w:lineRule="auto"/>
              <w:jc w:val="left"/>
            </w:pPr>
            <w:r>
              <w:rPr>
                <w:sz w:val="18"/>
              </w:rPr>
              <w:t>whether errors are white (model adequate) or correlated</w:t>
            </w:r>
          </w:p>
        </w:tc>
      </w:tr>
    </w:tbl>
    <w:p>
      <w:pPr>
        <w:spacing w:after="40"/>
      </w:pPr>
    </w:p>
    <w:p>
      <w:pPr>
        <w:pStyle w:val="Heading1"/>
      </w:pPr>
      <w:r>
        <w:t>3.  Theory</w:t>
      </w:r>
    </w:p>
    <w:p>
      <w:pPr>
        <w:keepNext w:val="0"/>
        <w:jc w:val="both"/>
      </w:pPr>
      <w:r>
        <w:t xml:space="preserve">The </w:t>
      </w:r>
      <w:r>
        <w:rPr>
          <w:b/>
        </w:rPr>
        <w:t>autocorrelation</w:t>
      </w:r>
      <w:r>
        <w:t xml:space="preserve"> of an energy signal measures its similarity with a copy shifted by </w:t>
      </w:r>
      <m:oMath xmlns:mml="http://www.w3.org/1998/Math/MathML">
        <m:r>
          <m:t>l</m:t>
        </m:r>
      </m:oMath>
      <w:r>
        <w:t xml:space="preserve"> samples:</w:t>
      </w:r>
    </w:p>
    <w:p>
      <w:pPr>
        <w:tabs>
          <w:tab w:pos="4819" w:val="center"/>
          <w:tab w:pos="9638" w:val="right"/>
        </w:tabs>
        <w:spacing w:before="60" w:after="120"/>
      </w:pPr>
      <w:r>
        <w:tab/>
      </w:r>
      <m:oMath xmlns:mml="http://www.w3.org/1998/Math/MathML">
        <m:sSub>
          <m:e>
            <m:r>
              <m:t>r</m:t>
            </m:r>
          </m:e>
          <m:sub>
            <m:r>
              <m:t>xx</m:t>
            </m:r>
          </m:sub>
        </m:sSub>
        <m:r>
          <m:t>[l]=</m:t>
        </m:r>
        <m:nary>
          <m:naryPr>
            <m:chr m:val="∑"/>
            <m:limLoc m:val="undOvr"/>
            <m:grow m:val="1"/>
            <m:subHide m:val="off"/>
            <m:supHide m:val="off"/>
          </m:naryPr>
          <m:sub>
            <m:r>
              <m:t>n=−∞</m:t>
            </m:r>
          </m:sub>
          <m:sup>
            <m:r>
              <m:t>∞</m:t>
            </m:r>
          </m:sup>
          <m:e/>
        </m:nary>
        <m:r>
          <m:t>x[n]</m:t>
        </m:r>
        <m:r>
          <m:rPr>
            <m:nor/>
          </m:rPr>
          <m:t> </m:t>
        </m:r>
        <m:r>
          <m:t>x[n−l],</m:t>
        </m:r>
        <m:r>
          <m:rPr>
            <m:nor/>
          </m:rPr>
          <m:t>  </m:t>
        </m:r>
        <m:r>
          <m:t>l=0,±1,±2,…</m:t>
        </m:r>
      </m:oMath>
      <w:r>
        <w:tab/>
        <w:t>(1)</w:t>
      </w:r>
    </w:p>
    <w:p>
      <w:pPr>
        <w:keepNext w:val="0"/>
        <w:jc w:val="both"/>
      </w:pPr>
      <w:r>
        <w:t xml:space="preserve">Comparing with the convolution sum shows that autocorrelation is the convolution of </w:t>
      </w:r>
      <m:oMath xmlns:mml="http://www.w3.org/1998/Math/MathML">
        <m:r>
          <m:t>x[n]</m:t>
        </m:r>
      </m:oMath>
      <w:r>
        <w:t xml:space="preserve"> with its folded copy (Experiment 1), and by the convolution theorem it is the inverse transform of the energy spectrum (the </w:t>
      </w:r>
      <w:r>
        <w:rPr>
          <w:b/>
        </w:rPr>
        <w:t>Wiener-Khinchin</w:t>
      </w:r>
      <w:r>
        <w:t xml:space="preserve"> relation):</w:t>
      </w:r>
    </w:p>
    <w:p>
      <w:pPr>
        <w:tabs>
          <w:tab w:pos="4819" w:val="center"/>
          <w:tab w:pos="9638" w:val="right"/>
        </w:tabs>
        <w:spacing w:before="60" w:after="120"/>
      </w:pPr>
      <w:r>
        <w:tab/>
      </w:r>
      <m:oMath xmlns:mml="http://www.w3.org/1998/Math/MathML">
        <m:sSub>
          <m:e>
            <m:r>
              <m:t>r</m:t>
            </m:r>
          </m:e>
          <m:sub>
            <m:r>
              <m:t>xx</m:t>
            </m:r>
          </m:sub>
        </m:sSub>
        <m:r>
          <m:t>[l]=x[l]*x[−l]</m:t>
        </m:r>
        <m:r>
          <m:rPr>
            <m:nor/>
          </m:rPr>
          <m:t> </m:t>
        </m:r>
        <m:r>
          <m:t>⟷</m:t>
        </m:r>
        <m:r>
          <m:rPr>
            <m:nor/>
          </m:rPr>
          <m:t> </m:t>
        </m:r>
        <m:sSub>
          <m:e>
            <m:r>
              <m:t>S</m:t>
            </m:r>
          </m:e>
          <m:sub>
            <m:r>
              <m:t>xx</m:t>
            </m:r>
          </m:sub>
        </m:sSub>
        <m:r>
          <m:t>(</m:t>
        </m:r>
        <m:sSup>
          <m:e>
            <m:r>
              <m:t>e</m:t>
            </m:r>
          </m:e>
          <m:sup>
            <m:r>
              <m:t>jω</m:t>
            </m:r>
          </m:sup>
        </m:sSup>
        <m:r>
          <m:t>)=</m:t>
        </m:r>
        <m:sSup>
          <m:e>
            <m:r>
              <m:t>|X(</m:t>
            </m:r>
            <m:sSup>
              <m:e>
                <m:r>
                  <m:t>e</m:t>
                </m:r>
              </m:e>
              <m:sup>
                <m:r>
                  <m:t>jω</m:t>
                </m:r>
              </m:sup>
            </m:sSup>
            <m:r>
              <m:t>)|</m:t>
            </m:r>
          </m:e>
          <m:sup>
            <m:r>
              <m:t>2</m:t>
            </m:r>
          </m:sup>
        </m:sSup>
      </m:oMath>
      <w:r>
        <w:tab/>
        <w:t>(2)</w:t>
      </w:r>
    </w:p>
    <w:p>
      <w:pPr>
        <w:keepNext w:val="0"/>
        <w:jc w:val="both"/>
      </w:pPr>
      <w:r>
        <w:t>Three properties follow directly and are verified numerically below:</w:t>
      </w:r>
    </w:p>
    <w:p>
      <w:pPr>
        <w:tabs>
          <w:tab w:pos="4819" w:val="center"/>
          <w:tab w:pos="9638" w:val="right"/>
        </w:tabs>
        <w:spacing w:before="60" w:after="120"/>
      </w:pPr>
      <w:r>
        <w:tab/>
      </w:r>
      <m:oMath xmlns:mml="http://www.w3.org/1998/Math/MathML">
        <m:sSub>
          <m:e>
            <m:r>
              <m:t>r</m:t>
            </m:r>
          </m:e>
          <m:sub>
            <m:r>
              <m:t>xx</m:t>
            </m:r>
          </m:sub>
        </m:sSub>
        <m:r>
          <m:t>[−l]=</m:t>
        </m:r>
        <m:sSub>
          <m:e>
            <m:r>
              <m:t>r</m:t>
            </m:r>
          </m:e>
          <m:sub>
            <m:r>
              <m:t>xx</m:t>
            </m:r>
          </m:sub>
        </m:sSub>
        <m:r>
          <m:t>[l],</m:t>
        </m:r>
        <m:r>
          <m:rPr>
            <m:nor/>
          </m:rPr>
          <m:t>  </m:t>
        </m:r>
        <m:r>
          <m:t>|</m:t>
        </m:r>
        <m:sSub>
          <m:e>
            <m:r>
              <m:t>r</m:t>
            </m:r>
          </m:e>
          <m:sub>
            <m:r>
              <m:t>xx</m:t>
            </m:r>
          </m:sub>
        </m:sSub>
        <m:r>
          <m:t>[l]|</m:t>
        </m:r>
        <m:r>
          <m:t>≤</m:t>
        </m:r>
        <m:sSub>
          <m:e>
            <m:r>
              <m:t>r</m:t>
            </m:r>
          </m:e>
          <m:sub>
            <m:r>
              <m:t>xx</m:t>
            </m:r>
          </m:sub>
        </m:sSub>
        <m:r>
          <m:t>[0]=</m:t>
        </m:r>
        <m:sSub>
          <m:e>
            <m:r>
              <m:t>E</m:t>
            </m:r>
          </m:e>
          <m:sub>
            <m:r>
              <m:t>x</m:t>
            </m:r>
          </m:sub>
        </m:sSub>
        <m:r>
          <m:t>=</m:t>
        </m:r>
        <m:nary>
          <m:naryPr>
            <m:chr m:val="∑"/>
            <m:limLoc m:val="undOvr"/>
            <m:grow m:val="1"/>
            <m:subHide m:val="off"/>
            <m:supHide m:val="on"/>
          </m:naryPr>
          <m:sub>
            <m:r>
              <m:t>n</m:t>
            </m:r>
          </m:sub>
          <m:sup/>
          <m:e/>
        </m:nary>
        <m:sSup>
          <m:e>
            <m:r>
              <m:t>x</m:t>
            </m:r>
          </m:e>
          <m:sup>
            <m:r>
              <m:t>2</m:t>
            </m:r>
          </m:sup>
        </m:sSup>
        <m:r>
          <m:t>[n]</m:t>
        </m:r>
      </m:oMath>
      <w:r>
        <w:tab/>
        <w:t>(3)</w:t>
      </w:r>
    </w:p>
    <w:p>
      <w:pPr>
        <w:keepNext w:val="0"/>
        <w:jc w:val="both"/>
      </w:pPr>
      <w:r>
        <w:t xml:space="preserve">For a finite record of </w:t>
      </w:r>
      <m:oMath xmlns:mml="http://www.w3.org/1998/Math/MathML">
        <m:r>
          <m:t>N</m:t>
        </m:r>
      </m:oMath>
      <w:r>
        <w:t xml:space="preserve"> samples with mean </w:t>
      </w:r>
      <m:oMath xmlns:mml="http://www.w3.org/1998/Math/MathML">
        <m:bar>
          <m:barPr>
            <m:pos m:val="top"/>
          </m:barPr>
          <m:e>
            <m:r>
              <m:t>x</m:t>
            </m:r>
          </m:e>
        </m:bar>
      </m:oMath>
      <w:r>
        <w:t>, the normalised autocorrelation (autocorrelation function, ACF) is estimated by</w:t>
      </w:r>
    </w:p>
    <w:p>
      <w:pPr>
        <w:tabs>
          <w:tab w:pos="4819" w:val="center"/>
          <w:tab w:pos="9638" w:val="right"/>
        </w:tabs>
        <w:spacing w:before="60" w:after="120"/>
      </w:pPr>
      <w:r>
        <w:tab/>
      </w:r>
      <m:oMath xmlns:mml="http://www.w3.org/1998/Math/MathML">
        <m:r>
          <m:t>ρ[l]=</m:t>
        </m:r>
        <m:f>
          <m:fPr>
            <m:type m:val="bar"/>
          </m:fPr>
          <m:num>
            <m:acc>
              <m:accPr>
                <m:chr m:val="̂"/>
              </m:accPr>
              <m:e>
                <m:r>
                  <m:t>r</m:t>
                </m:r>
              </m:e>
            </m:acc>
            <m:r>
              <m:t>[l]</m:t>
            </m:r>
          </m:num>
          <m:den>
            <m:acc>
              <m:accPr>
                <m:chr m:val="̂"/>
              </m:accPr>
              <m:e>
                <m:r>
                  <m:t>r</m:t>
                </m:r>
              </m:e>
            </m:acc>
            <m:r>
              <m:t>[0]</m:t>
            </m:r>
          </m:den>
        </m:f>
        <m:r>
          <m:t>,</m:t>
        </m:r>
        <m:r>
          <m:rPr>
            <m:nor/>
          </m:rPr>
          <m:t>  </m:t>
        </m:r>
        <m:acc>
          <m:accPr>
            <m:chr m:val="̂"/>
          </m:accPr>
          <m:e>
            <m:r>
              <m:t>r</m:t>
            </m:r>
          </m:e>
        </m:acc>
        <m:r>
          <m:t>[l]=</m:t>
        </m:r>
        <m:f>
          <m:fPr>
            <m:type m:val="bar"/>
          </m:fPr>
          <m:num>
            <m:r>
              <m:t>1</m:t>
            </m:r>
          </m:num>
          <m:den>
            <m:r>
              <m:t>N</m:t>
            </m:r>
          </m:den>
        </m:f>
        <m:nary>
          <m:naryPr>
            <m:chr m:val="∑"/>
            <m:limLoc m:val="undOvr"/>
            <m:grow m:val="1"/>
            <m:subHide m:val="off"/>
            <m:supHide m:val="off"/>
          </m:naryPr>
          <m:sub>
            <m:r>
              <m:t>n=l</m:t>
            </m:r>
          </m:sub>
          <m:sup>
            <m:r>
              <m:t>N−1</m:t>
            </m:r>
          </m:sup>
          <m:e>
            <m:r>
              <m:t>(x[n]−</m:t>
            </m:r>
            <m:bar>
              <m:barPr>
                <m:pos m:val="top"/>
              </m:barPr>
              <m:e>
                <m:r>
                  <m:t>x</m:t>
                </m:r>
              </m:e>
            </m:bar>
            <m:r>
              <m:t>)</m:t>
            </m:r>
          </m:e>
        </m:nary>
        <m:r>
          <m:t>(x[n−l]−</m:t>
        </m:r>
        <m:bar>
          <m:barPr>
            <m:pos m:val="top"/>
          </m:barPr>
          <m:e>
            <m:r>
              <m:t>x</m:t>
            </m:r>
          </m:e>
        </m:bar>
        <m:r>
          <m:t>)</m:t>
        </m:r>
      </m:oMath>
      <w:r>
        <w:tab/>
        <w:t>(4)</w:t>
      </w:r>
    </w:p>
    <w:p>
      <w:pPr>
        <w:keepNext w:val="0"/>
        <w:jc w:val="both"/>
      </w:pPr>
      <w:r>
        <w:t xml:space="preserve">Dividing by </w:t>
      </w:r>
      <m:oMath xmlns:mml="http://www.w3.org/1998/Math/MathML">
        <m:r>
          <m:t>N</m:t>
        </m:r>
      </m:oMath>
      <w:r>
        <w:t xml:space="preserve"> (biased) rather than </w:t>
      </w:r>
      <m:oMath xmlns:mml="http://www.w3.org/1998/Math/MathML">
        <m:r>
          <m:t>N−l</m:t>
        </m:r>
      </m:oMath>
      <w:r>
        <w:t xml:space="preserve"> (unbiased) gives a slightly smaller but far less noisy estimate at large lags, and is the standard choice. Two reference cases guide interpretation: a periodic signal of period </w:t>
      </w:r>
      <m:oMath xmlns:mml="http://www.w3.org/1998/Math/MathML">
        <m:r>
          <m:t>P</m:t>
        </m:r>
      </m:oMath>
      <w:r>
        <w:t xml:space="preserve"> has an ACF that repeats with period </w:t>
      </w:r>
      <m:oMath xmlns:mml="http://www.w3.org/1998/Math/MathML">
        <m:r>
          <m:t>P</m:t>
        </m:r>
      </m:oMath>
      <w:r>
        <w:t xml:space="preserve"> (a sinusoid gives </w:t>
      </w:r>
      <m:oMath xmlns:mml="http://www.w3.org/1998/Math/MathML">
        <m:r>
          <m:t>ρ[l]=</m:t>
        </m:r>
        <m:r>
          <m:rPr>
            <m:sty m:val="p"/>
          </m:rPr>
          <m:t>cos</m:t>
        </m:r>
        <m:r>
          <m:t>(2πl/P)</m:t>
        </m:r>
      </m:oMath>
      <w:r>
        <w:t xml:space="preserve">), while white noise has </w:t>
      </w:r>
      <m:oMath xmlns:mml="http://www.w3.org/1998/Math/MathML">
        <m:r>
          <m:t>ρ[l]≈0</m:t>
        </m:r>
      </m:oMath>
      <w:r>
        <w:t xml:space="preserve"> for </w:t>
      </w:r>
      <m:oMath xmlns:mml="http://www.w3.org/1998/Math/MathML">
        <m:r>
          <m:t>l≠0</m:t>
        </m:r>
      </m:oMath>
      <w:r>
        <w:t>, with 95 % of sample values inside</w:t>
      </w:r>
    </w:p>
    <w:p>
      <w:pPr>
        <w:tabs>
          <w:tab w:pos="4819" w:val="center"/>
          <w:tab w:pos="9638" w:val="right"/>
        </w:tabs>
        <w:spacing w:before="60" w:after="120"/>
      </w:pPr>
      <w:r>
        <w:tab/>
      </w:r>
      <m:oMath xmlns:mml="http://www.w3.org/1998/Math/MathML">
        <m:r>
          <m:t>|ρ[l]|</m:t>
        </m:r>
        <m:r>
          <m:t>&lt;</m:t>
        </m:r>
        <m:f>
          <m:fPr>
            <m:type m:val="bar"/>
          </m:fPr>
          <m:num>
            <m:r>
              <m:t>1.96</m:t>
            </m:r>
          </m:num>
          <m:den>
            <m:rad>
              <m:radPr>
                <m:degHide m:val="on"/>
              </m:radPr>
              <m:deg/>
              <m:e>
                <m:r>
                  <m:t>N</m:t>
                </m:r>
              </m:e>
            </m:rad>
          </m:den>
        </m:f>
      </m:oMath>
      <w:r>
        <w:tab/>
        <w:t>(5)</w:t>
      </w: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Autocorrelation is robust to noise because uncorrelated noise adds only to ρ[0]; the periodic part keeps reinforcing at its own lag. This is why a period can be read from the ACF even when the noise is larger than the signal (Section 7).</w:t>
            </w:r>
          </w:p>
        </w:tc>
      </w:tr>
    </w:tbl>
    <w:p>
      <w:pPr>
        <w:spacing w:after="40"/>
      </w:pPr>
    </w:p>
    <w:p>
      <w:pPr>
        <w:pStyle w:val="Heading1"/>
      </w:pPr>
      <w:r>
        <w:t>4.  Dataset Description</w:t>
      </w:r>
    </w:p>
    <w:p>
      <w:pPr>
        <w:keepNext w:val="0"/>
        <w:jc w:val="both"/>
      </w:pPr>
      <w:r>
        <w:t xml:space="preserve">The </w:t>
      </w:r>
      <w:r>
        <w:rPr>
          <w:b/>
        </w:rPr>
        <w:t>international sunspot number</w:t>
      </w:r>
      <w:r>
        <w:t xml:space="preserve"> (version 2.0) is maintained by SILSO, the World Data Center for the sunspot index at the Royal Observatory of Belgium. It combines counts from about 80 observatories worldwide and has been recalibrated back to 1749, making it the longest continuous record of solar activity. The monthly mean series is a single 124 kB text file with one row per month, downloaded once and cached. The last 3 months are provisional. Sampling interval: T_s = 1 month, so 12 lags = 1 year.</w:t>
      </w:r>
    </w:p>
    <w:p>
      <w:pPr>
        <w:pStyle w:val="Caption"/>
        <w:keepNext/>
        <w:spacing w:after="60" w:before="120"/>
        <w:jc w:val="center"/>
      </w:pPr>
      <w:r>
        <w:rPr>
          <w:b/>
        </w:rPr>
        <w:t xml:space="preserve">Table 2. </w:t>
      </w:r>
      <w:r>
        <w:rPr>
          <w:b/>
        </w:rPr>
        <w:t>Dataset attributes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sz w:val="17"/>
              </w:rPr>
              <w:t>Provider</w:t>
            </w:r>
          </w:p>
        </w:tc>
        <w:tc>
          <w:tcPr>
            <w:tcW w:type="dxa" w:w="2835"/>
            <w:vAlign w:val="center"/>
            <w:tcMar>
              <w:top w:w="40" w:type="dxa"/>
              <w:bottom w:w="40" w:type="dxa"/>
              <w:start w:w="90" w:type="dxa"/>
              <w:end w:w="90" w:type="dxa"/>
            </w:tcMar>
          </w:tcPr>
          <w:p>
            <w:pPr>
              <w:keepNext/>
              <w:spacing w:after="0" w:line="240" w:lineRule="auto"/>
              <w:jc w:val="left"/>
            </w:pPr>
            <w:r>
              <w:rPr>
                <w:sz w:val="17"/>
              </w:rPr>
              <w:t>SILSO, Royal Observatory of Belgium</w:t>
            </w:r>
          </w:p>
        </w:tc>
        <w:tc>
          <w:tcPr>
            <w:tcW w:type="dxa" w:w="2154"/>
            <w:vAlign w:val="center"/>
            <w:tcMar>
              <w:top w:w="40" w:type="dxa"/>
              <w:bottom w:w="40" w:type="dxa"/>
              <w:start w:w="90" w:type="dxa"/>
              <w:end w:w="90" w:type="dxa"/>
            </w:tcMar>
          </w:tcPr>
          <w:p>
            <w:pPr>
              <w:keepNext/>
              <w:spacing w:after="0" w:line="240" w:lineRule="auto"/>
              <w:jc w:val="left"/>
            </w:pPr>
            <w:r>
              <w:rPr>
                <w:sz w:val="17"/>
              </w:rPr>
              <w:t>Series</w:t>
            </w:r>
          </w:p>
        </w:tc>
        <w:tc>
          <w:tcPr>
            <w:tcW w:type="dxa" w:w="2835"/>
            <w:vAlign w:val="center"/>
            <w:tcMar>
              <w:top w:w="40" w:type="dxa"/>
              <w:bottom w:w="40" w:type="dxa"/>
              <w:start w:w="90" w:type="dxa"/>
              <w:end w:w="90" w:type="dxa"/>
            </w:tcMar>
          </w:tcPr>
          <w:p>
            <w:pPr>
              <w:keepNext/>
              <w:spacing w:after="0" w:line="240" w:lineRule="auto"/>
              <w:jc w:val="left"/>
            </w:pPr>
            <w:r>
              <w:rPr>
                <w:sz w:val="17"/>
              </w:rPr>
              <w:t>monthly mean total sunspot number v2.0</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sz w:val="17"/>
              </w:rPr>
              <w:t>Period</w:t>
            </w:r>
          </w:p>
        </w:tc>
        <w:tc>
          <w:tcPr>
            <w:tcW w:type="dxa" w:w="2835"/>
            <w:vAlign w:val="center"/>
            <w:tcMar>
              <w:top w:w="40" w:type="dxa"/>
              <w:bottom w:w="40" w:type="dxa"/>
              <w:start w:w="90" w:type="dxa"/>
              <w:end w:w="90" w:type="dxa"/>
            </w:tcMar>
            <w:shd w:val="clear" w:color="auto" w:fill="F5F4F0"/>
          </w:tcPr>
          <w:p>
            <w:pPr>
              <w:keepNext/>
              <w:spacing w:after="0" w:line="240" w:lineRule="auto"/>
              <w:jc w:val="left"/>
            </w:pPr>
            <w:r>
              <w:rPr>
                <w:sz w:val="17"/>
              </w:rPr>
              <w:t>1749-01 to 2026-09</w:t>
            </w:r>
          </w:p>
        </w:tc>
        <w:tc>
          <w:tcPr>
            <w:tcW w:type="dxa" w:w="2154"/>
            <w:vAlign w:val="center"/>
            <w:tcMar>
              <w:top w:w="40" w:type="dxa"/>
              <w:bottom w:w="40" w:type="dxa"/>
              <w:start w:w="90" w:type="dxa"/>
              <w:end w:w="90" w:type="dxa"/>
            </w:tcMar>
            <w:shd w:val="clear" w:color="auto" w:fill="F5F4F0"/>
          </w:tcPr>
          <w:p>
            <w:pPr>
              <w:keepNext/>
              <w:spacing w:after="0" w:line="240" w:lineRule="auto"/>
              <w:jc w:val="left"/>
            </w:pPr>
            <w:r>
              <w:rPr>
                <w:sz w:val="17"/>
              </w:rPr>
              <w:t>Samples N</w:t>
            </w:r>
          </w:p>
        </w:tc>
        <w:tc>
          <w:tcPr>
            <w:tcW w:type="dxa" w:w="2835"/>
            <w:vAlign w:val="center"/>
            <w:tcMar>
              <w:top w:w="40" w:type="dxa"/>
              <w:bottom w:w="40" w:type="dxa"/>
              <w:start w:w="90" w:type="dxa"/>
              <w:end w:w="90" w:type="dxa"/>
            </w:tcMar>
            <w:shd w:val="clear" w:color="auto" w:fill="F5F4F0"/>
          </w:tcPr>
          <w:p>
            <w:pPr>
              <w:keepNext/>
              <w:spacing w:after="0" w:line="240" w:lineRule="auto"/>
              <w:jc w:val="left"/>
            </w:pPr>
            <w:r>
              <w:rPr>
                <w:sz w:val="17"/>
              </w:rPr>
              <w:t>3,333 months</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sz w:val="17"/>
              </w:rPr>
              <w:t>Mean ± std</w:t>
            </w:r>
          </w:p>
        </w:tc>
        <w:tc>
          <w:tcPr>
            <w:tcW w:type="dxa" w:w="2835"/>
            <w:vAlign w:val="center"/>
            <w:tcMar>
              <w:top w:w="40" w:type="dxa"/>
              <w:bottom w:w="40" w:type="dxa"/>
              <w:start w:w="90" w:type="dxa"/>
              <w:end w:w="90" w:type="dxa"/>
            </w:tcMar>
          </w:tcPr>
          <w:p>
            <w:pPr>
              <w:keepNext/>
              <w:spacing w:after="0" w:line="240" w:lineRule="auto"/>
              <w:jc w:val="left"/>
            </w:pPr>
            <w:r>
              <w:rPr>
                <w:sz w:val="17"/>
              </w:rPr>
              <w:t>82.2 ± 67.6</w:t>
            </w:r>
          </w:p>
        </w:tc>
        <w:tc>
          <w:tcPr>
            <w:tcW w:type="dxa" w:w="2154"/>
            <w:vAlign w:val="center"/>
            <w:tcMar>
              <w:top w:w="40" w:type="dxa"/>
              <w:bottom w:w="40" w:type="dxa"/>
              <w:start w:w="90" w:type="dxa"/>
              <w:end w:w="90" w:type="dxa"/>
            </w:tcMar>
          </w:tcPr>
          <w:p>
            <w:pPr>
              <w:keepNext/>
              <w:spacing w:after="0" w:line="240" w:lineRule="auto"/>
              <w:jc w:val="left"/>
            </w:pPr>
            <w:r>
              <w:rPr>
                <w:sz w:val="17"/>
              </w:rPr>
              <w:t>Range</w:t>
            </w:r>
          </w:p>
        </w:tc>
        <w:tc>
          <w:tcPr>
            <w:tcW w:type="dxa" w:w="2835"/>
            <w:vAlign w:val="center"/>
            <w:tcMar>
              <w:top w:w="40" w:type="dxa"/>
              <w:bottom w:w="40" w:type="dxa"/>
              <w:start w:w="90" w:type="dxa"/>
              <w:end w:w="90" w:type="dxa"/>
            </w:tcMar>
          </w:tcPr>
          <w:p>
            <w:pPr>
              <w:keepNext/>
              <w:spacing w:after="0" w:line="240" w:lineRule="auto"/>
              <w:jc w:val="left"/>
            </w:pPr>
            <w:r>
              <w:rPr>
                <w:sz w:val="17"/>
              </w:rPr>
              <w:t>0 to 398.2</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sz w:val="17"/>
              </w:rPr>
              <w:t>Largest month</w:t>
            </w:r>
          </w:p>
        </w:tc>
        <w:tc>
          <w:tcPr>
            <w:tcW w:type="dxa" w:w="2835"/>
            <w:vAlign w:val="center"/>
            <w:tcMar>
              <w:top w:w="40" w:type="dxa"/>
              <w:bottom w:w="40" w:type="dxa"/>
              <w:start w:w="90" w:type="dxa"/>
              <w:end w:w="90" w:type="dxa"/>
            </w:tcMar>
            <w:shd w:val="clear" w:color="auto" w:fill="F5F4F0"/>
          </w:tcPr>
          <w:p>
            <w:pPr>
              <w:keepNext/>
              <w:spacing w:after="0" w:line="240" w:lineRule="auto"/>
              <w:jc w:val="left"/>
            </w:pPr>
            <w:r>
              <w:rPr>
                <w:sz w:val="17"/>
              </w:rPr>
              <w:t>1778-05</w:t>
            </w:r>
          </w:p>
        </w:tc>
        <w:tc>
          <w:tcPr>
            <w:tcW w:type="dxa" w:w="2154"/>
            <w:vAlign w:val="center"/>
            <w:tcMar>
              <w:top w:w="40" w:type="dxa"/>
              <w:bottom w:w="40" w:type="dxa"/>
              <w:start w:w="90" w:type="dxa"/>
              <w:end w:w="90" w:type="dxa"/>
            </w:tcMar>
            <w:shd w:val="clear" w:color="auto" w:fill="F5F4F0"/>
          </w:tcPr>
          <w:p>
            <w:pPr>
              <w:keepNext/>
              <w:spacing w:after="0" w:line="240" w:lineRule="auto"/>
              <w:jc w:val="left"/>
            </w:pPr>
            <w:r>
              <w:rPr>
                <w:sz w:val="17"/>
              </w:rPr>
              <w:t>Months with observer count</w:t>
            </w:r>
          </w:p>
        </w:tc>
        <w:tc>
          <w:tcPr>
            <w:tcW w:type="dxa" w:w="2835"/>
            <w:vAlign w:val="center"/>
            <w:tcMar>
              <w:top w:w="40" w:type="dxa"/>
              <w:bottom w:w="40" w:type="dxa"/>
              <w:start w:w="90" w:type="dxa"/>
              <w:end w:w="90" w:type="dxa"/>
            </w:tcMar>
            <w:shd w:val="clear" w:color="auto" w:fill="F5F4F0"/>
          </w:tcPr>
          <w:p>
            <w:pPr>
              <w:keepNext/>
              <w:spacing w:after="0" w:line="240" w:lineRule="auto"/>
              <w:jc w:val="left"/>
            </w:pPr>
            <w:r>
              <w:rPr>
                <w:sz w:val="17"/>
              </w:rPr>
              <w:t>2,504</w:t>
            </w:r>
          </w:p>
        </w:tc>
      </w:tr>
      <w:tr>
        <w:trPr>
          <w:cantSplit/>
        </w:trPr>
        <w:tc>
          <w:tcPr>
            <w:tcW w:type="dxa" w:w="1814"/>
            <w:vAlign w:val="center"/>
            <w:tcMar>
              <w:top w:w="40" w:type="dxa"/>
              <w:bottom w:w="40" w:type="dxa"/>
              <w:start w:w="90" w:type="dxa"/>
              <w:end w:w="90" w:type="dxa"/>
            </w:tcMar>
          </w:tcPr>
          <w:p>
            <w:pPr>
              <w:spacing w:after="0" w:line="240" w:lineRule="auto"/>
              <w:jc w:val="left"/>
            </w:pPr>
            <w:r>
              <w:rPr>
                <w:sz w:val="17"/>
              </w:rPr>
              <w:t>Columns used</w:t>
            </w:r>
          </w:p>
        </w:tc>
        <w:tc>
          <w:tcPr>
            <w:tcW w:type="dxa" w:w="2835"/>
            <w:vAlign w:val="center"/>
            <w:tcMar>
              <w:top w:w="40" w:type="dxa"/>
              <w:bottom w:w="40" w:type="dxa"/>
              <w:start w:w="90" w:type="dxa"/>
              <w:end w:w="90" w:type="dxa"/>
            </w:tcMar>
          </w:tcPr>
          <w:p>
            <w:pPr>
              <w:spacing w:after="0" w:line="240" w:lineRule="auto"/>
              <w:jc w:val="left"/>
            </w:pPr>
            <w:r>
              <w:rPr>
                <w:sz w:val="17"/>
              </w:rPr>
              <w:t>year, month, decimal year, SN</w:t>
            </w:r>
          </w:p>
        </w:tc>
        <w:tc>
          <w:tcPr>
            <w:tcW w:type="dxa" w:w="2154"/>
            <w:vAlign w:val="center"/>
            <w:tcMar>
              <w:top w:w="40" w:type="dxa"/>
              <w:bottom w:w="40" w:type="dxa"/>
              <w:start w:w="90" w:type="dxa"/>
              <w:end w:w="90" w:type="dxa"/>
            </w:tcMar>
          </w:tcPr>
          <w:p>
            <w:pPr>
              <w:spacing w:after="0" w:line="240" w:lineRule="auto"/>
              <w:jc w:val="left"/>
            </w:pPr>
            <w:r>
              <w:rPr>
                <w:sz w:val="17"/>
              </w:rPr>
              <w:t>Licence</w:t>
            </w:r>
          </w:p>
        </w:tc>
        <w:tc>
          <w:tcPr>
            <w:tcW w:type="dxa" w:w="2835"/>
            <w:vAlign w:val="center"/>
            <w:tcMar>
              <w:top w:w="40" w:type="dxa"/>
              <w:bottom w:w="40" w:type="dxa"/>
              <w:start w:w="90" w:type="dxa"/>
              <w:end w:w="90" w:type="dxa"/>
            </w:tcMar>
          </w:tcPr>
          <w:p>
            <w:pPr>
              <w:spacing w:after="0" w:line="240" w:lineRule="auto"/>
              <w:jc w:val="left"/>
            </w:pPr>
            <w:r>
              <w:rPr>
                <w:sz w:val="17"/>
              </w:rPr>
              <w:t>CC BY-NC 4.0 (SILSO)</w:t>
            </w:r>
          </w:p>
        </w:tc>
      </w:tr>
    </w:tbl>
    <w:p>
      <w:pPr>
        <w:spacing w:after="40"/>
      </w:pPr>
    </w:p>
    <w:p>
      <w:pPr>
        <w:pStyle w:val="Caption"/>
        <w:keepNext/>
        <w:spacing w:after="60" w:before="120"/>
        <w:jc w:val="center"/>
      </w:pPr>
      <w:r>
        <w:rPr>
          <w:b/>
        </w:rPr>
        <w:t xml:space="preserve">Table 3. </w:t>
      </w:r>
      <w:r>
        <w:rPr>
          <w:b/>
        </w:rPr>
        <w:t>Most recent six rows of the dataset</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377"/>
        <w:gridCol w:w="1377"/>
        <w:gridCol w:w="1377"/>
        <w:gridCol w:w="1377"/>
        <w:gridCol w:w="1377"/>
        <w:gridCol w:w="1377"/>
        <w:gridCol w:w="1377"/>
      </w:tblGrid>
      <w:tr>
        <w:trPr>
          <w:cantSplit/>
          <w:tblHeader w:val="true"/>
        </w:trPr>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Year</w:t>
            </w:r>
          </w:p>
        </w:tc>
        <w:tc>
          <w:tcPr>
            <w:tcW w:type="dxa" w:w="90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Month</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Decimal year</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SN</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Std. dev.</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Observations</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Definitive</w:t>
            </w:r>
          </w:p>
        </w:tc>
      </w:tr>
      <w:tr>
        <w:trPr>
          <w:cantSplit/>
        </w:trPr>
        <w:tc>
          <w:tcPr>
            <w:tcW w:type="dxa" w:w="1020"/>
            <w:vAlign w:val="center"/>
            <w:tcMar>
              <w:top w:w="40" w:type="dxa"/>
              <w:bottom w:w="40" w:type="dxa"/>
              <w:start w:w="90" w:type="dxa"/>
              <w:end w:w="90" w:type="dxa"/>
            </w:tcMar>
          </w:tcPr>
          <w:p>
            <w:pPr>
              <w:keepNext/>
              <w:spacing w:after="0" w:line="240" w:lineRule="auto"/>
              <w:jc w:val="center"/>
            </w:pPr>
            <w:r>
              <w:rPr>
                <w:sz w:val="17"/>
              </w:rPr>
              <w:t>2026</w:t>
            </w:r>
          </w:p>
        </w:tc>
        <w:tc>
          <w:tcPr>
            <w:tcW w:type="dxa" w:w="907"/>
            <w:vAlign w:val="center"/>
            <w:tcMar>
              <w:top w:w="40" w:type="dxa"/>
              <w:bottom w:w="40" w:type="dxa"/>
              <w:start w:w="90" w:type="dxa"/>
              <w:end w:w="90" w:type="dxa"/>
            </w:tcMar>
          </w:tcPr>
          <w:p>
            <w:pPr>
              <w:keepNext/>
              <w:spacing w:after="0" w:line="240" w:lineRule="auto"/>
              <w:jc w:val="center"/>
            </w:pPr>
            <w:r>
              <w:rPr>
                <w:sz w:val="17"/>
              </w:rPr>
              <w:t>04</w:t>
            </w:r>
          </w:p>
        </w:tc>
        <w:tc>
          <w:tcPr>
            <w:tcW w:type="dxa" w:w="1474"/>
            <w:vAlign w:val="center"/>
            <w:tcMar>
              <w:top w:w="40" w:type="dxa"/>
              <w:bottom w:w="40" w:type="dxa"/>
              <w:start w:w="90" w:type="dxa"/>
              <w:end w:w="90" w:type="dxa"/>
            </w:tcMar>
          </w:tcPr>
          <w:p>
            <w:pPr>
              <w:keepNext/>
              <w:spacing w:after="0" w:line="240" w:lineRule="auto"/>
              <w:jc w:val="center"/>
            </w:pPr>
            <w:r>
              <w:rPr>
                <w:sz w:val="17"/>
              </w:rPr>
              <w:t>2026.286</w:t>
            </w:r>
          </w:p>
        </w:tc>
        <w:tc>
          <w:tcPr>
            <w:tcW w:type="dxa" w:w="1134"/>
            <w:vAlign w:val="center"/>
            <w:tcMar>
              <w:top w:w="40" w:type="dxa"/>
              <w:bottom w:w="40" w:type="dxa"/>
              <w:start w:w="90" w:type="dxa"/>
              <w:end w:w="90" w:type="dxa"/>
            </w:tcMar>
          </w:tcPr>
          <w:p>
            <w:pPr>
              <w:keepNext/>
              <w:spacing w:after="0" w:line="240" w:lineRule="auto"/>
              <w:jc w:val="center"/>
            </w:pPr>
            <w:r>
              <w:rPr>
                <w:sz w:val="17"/>
              </w:rPr>
              <w:t>79.0</w:t>
            </w:r>
          </w:p>
        </w:tc>
        <w:tc>
          <w:tcPr>
            <w:tcW w:type="dxa" w:w="1361"/>
            <w:vAlign w:val="center"/>
            <w:tcMar>
              <w:top w:w="40" w:type="dxa"/>
              <w:bottom w:w="40" w:type="dxa"/>
              <w:start w:w="90" w:type="dxa"/>
              <w:end w:w="90" w:type="dxa"/>
            </w:tcMar>
          </w:tcPr>
          <w:p>
            <w:pPr>
              <w:keepNext/>
              <w:spacing w:after="0" w:line="240" w:lineRule="auto"/>
              <w:jc w:val="center"/>
            </w:pPr>
            <w:r>
              <w:rPr>
                <w:sz w:val="17"/>
              </w:rPr>
              <w:t>11.2</w:t>
            </w:r>
          </w:p>
        </w:tc>
        <w:tc>
          <w:tcPr>
            <w:tcW w:type="dxa" w:w="1701"/>
            <w:vAlign w:val="center"/>
            <w:tcMar>
              <w:top w:w="40" w:type="dxa"/>
              <w:bottom w:w="40" w:type="dxa"/>
              <w:start w:w="90" w:type="dxa"/>
              <w:end w:w="90" w:type="dxa"/>
            </w:tcMar>
          </w:tcPr>
          <w:p>
            <w:pPr>
              <w:keepNext/>
              <w:spacing w:after="0" w:line="240" w:lineRule="auto"/>
              <w:jc w:val="center"/>
            </w:pPr>
            <w:r>
              <w:rPr>
                <w:sz w:val="17"/>
              </w:rPr>
              <w:t>1345</w:t>
            </w:r>
          </w:p>
        </w:tc>
        <w:tc>
          <w:tcPr>
            <w:tcW w:type="dxa" w:w="2041"/>
            <w:vAlign w:val="center"/>
            <w:tcMar>
              <w:top w:w="40" w:type="dxa"/>
              <w:bottom w:w="40" w:type="dxa"/>
              <w:start w:w="90" w:type="dxa"/>
              <w:end w:w="90" w:type="dxa"/>
            </w:tcMar>
          </w:tcPr>
          <w:p>
            <w:pPr>
              <w:keepNext/>
              <w:spacing w:after="0" w:line="240" w:lineRule="auto"/>
              <w:jc w:val="center"/>
            </w:pPr>
            <w:r>
              <w:rPr>
                <w:sz w:val="17"/>
              </w:rPr>
              <w:t>yes</w:t>
            </w:r>
          </w:p>
        </w:tc>
      </w:tr>
      <w:tr>
        <w:trPr>
          <w:cantSplit/>
        </w:trPr>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2026</w:t>
            </w:r>
          </w:p>
        </w:tc>
        <w:tc>
          <w:tcPr>
            <w:tcW w:type="dxa" w:w="907"/>
            <w:vAlign w:val="center"/>
            <w:tcMar>
              <w:top w:w="40" w:type="dxa"/>
              <w:bottom w:w="40" w:type="dxa"/>
              <w:start w:w="90" w:type="dxa"/>
              <w:end w:w="90" w:type="dxa"/>
            </w:tcMar>
            <w:shd w:val="clear" w:color="auto" w:fill="F5F4F0"/>
          </w:tcPr>
          <w:p>
            <w:pPr>
              <w:keepNext/>
              <w:spacing w:after="0" w:line="240" w:lineRule="auto"/>
              <w:jc w:val="center"/>
            </w:pPr>
            <w:r>
              <w:rPr>
                <w:sz w:val="17"/>
              </w:rPr>
              <w:t>05</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2026.371</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101.8</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15.5</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1319</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yes</w:t>
            </w:r>
          </w:p>
        </w:tc>
      </w:tr>
      <w:tr>
        <w:trPr>
          <w:cantSplit/>
        </w:trPr>
        <w:tc>
          <w:tcPr>
            <w:tcW w:type="dxa" w:w="1020"/>
            <w:vAlign w:val="center"/>
            <w:tcMar>
              <w:top w:w="40" w:type="dxa"/>
              <w:bottom w:w="40" w:type="dxa"/>
              <w:start w:w="90" w:type="dxa"/>
              <w:end w:w="90" w:type="dxa"/>
            </w:tcMar>
          </w:tcPr>
          <w:p>
            <w:pPr>
              <w:keepNext/>
              <w:spacing w:after="0" w:line="240" w:lineRule="auto"/>
              <w:jc w:val="center"/>
            </w:pPr>
            <w:r>
              <w:rPr>
                <w:sz w:val="17"/>
              </w:rPr>
              <w:t>2026</w:t>
            </w:r>
          </w:p>
        </w:tc>
        <w:tc>
          <w:tcPr>
            <w:tcW w:type="dxa" w:w="907"/>
            <w:vAlign w:val="center"/>
            <w:tcMar>
              <w:top w:w="40" w:type="dxa"/>
              <w:bottom w:w="40" w:type="dxa"/>
              <w:start w:w="90" w:type="dxa"/>
              <w:end w:w="90" w:type="dxa"/>
            </w:tcMar>
          </w:tcPr>
          <w:p>
            <w:pPr>
              <w:keepNext/>
              <w:spacing w:after="0" w:line="240" w:lineRule="auto"/>
              <w:jc w:val="center"/>
            </w:pPr>
            <w:r>
              <w:rPr>
                <w:sz w:val="17"/>
              </w:rPr>
              <w:t>06</w:t>
            </w:r>
          </w:p>
        </w:tc>
        <w:tc>
          <w:tcPr>
            <w:tcW w:type="dxa" w:w="1474"/>
            <w:vAlign w:val="center"/>
            <w:tcMar>
              <w:top w:w="40" w:type="dxa"/>
              <w:bottom w:w="40" w:type="dxa"/>
              <w:start w:w="90" w:type="dxa"/>
              <w:end w:w="90" w:type="dxa"/>
            </w:tcMar>
          </w:tcPr>
          <w:p>
            <w:pPr>
              <w:keepNext/>
              <w:spacing w:after="0" w:line="240" w:lineRule="auto"/>
              <w:jc w:val="center"/>
            </w:pPr>
            <w:r>
              <w:rPr>
                <w:sz w:val="17"/>
              </w:rPr>
              <w:t>2026.453</w:t>
            </w:r>
          </w:p>
        </w:tc>
        <w:tc>
          <w:tcPr>
            <w:tcW w:type="dxa" w:w="1134"/>
            <w:vAlign w:val="center"/>
            <w:tcMar>
              <w:top w:w="40" w:type="dxa"/>
              <w:bottom w:w="40" w:type="dxa"/>
              <w:start w:w="90" w:type="dxa"/>
              <w:end w:w="90" w:type="dxa"/>
            </w:tcMar>
          </w:tcPr>
          <w:p>
            <w:pPr>
              <w:keepNext/>
              <w:spacing w:after="0" w:line="240" w:lineRule="auto"/>
              <w:jc w:val="center"/>
            </w:pPr>
            <w:r>
              <w:rPr>
                <w:sz w:val="17"/>
              </w:rPr>
              <w:t>93.3</w:t>
            </w:r>
          </w:p>
        </w:tc>
        <w:tc>
          <w:tcPr>
            <w:tcW w:type="dxa" w:w="1361"/>
            <w:vAlign w:val="center"/>
            <w:tcMar>
              <w:top w:w="40" w:type="dxa"/>
              <w:bottom w:w="40" w:type="dxa"/>
              <w:start w:w="90" w:type="dxa"/>
              <w:end w:w="90" w:type="dxa"/>
            </w:tcMar>
          </w:tcPr>
          <w:p>
            <w:pPr>
              <w:keepNext/>
              <w:spacing w:after="0" w:line="240" w:lineRule="auto"/>
              <w:jc w:val="center"/>
            </w:pPr>
            <w:r>
              <w:rPr>
                <w:sz w:val="17"/>
              </w:rPr>
              <w:t>15.1</w:t>
            </w:r>
          </w:p>
        </w:tc>
        <w:tc>
          <w:tcPr>
            <w:tcW w:type="dxa" w:w="1701"/>
            <w:vAlign w:val="center"/>
            <w:tcMar>
              <w:top w:w="40" w:type="dxa"/>
              <w:bottom w:w="40" w:type="dxa"/>
              <w:start w:w="90" w:type="dxa"/>
              <w:end w:w="90" w:type="dxa"/>
            </w:tcMar>
          </w:tcPr>
          <w:p>
            <w:pPr>
              <w:keepNext/>
              <w:spacing w:after="0" w:line="240" w:lineRule="auto"/>
              <w:jc w:val="center"/>
            </w:pPr>
            <w:r>
              <w:rPr>
                <w:sz w:val="17"/>
              </w:rPr>
              <w:t>1316</w:t>
            </w:r>
          </w:p>
        </w:tc>
        <w:tc>
          <w:tcPr>
            <w:tcW w:type="dxa" w:w="2041"/>
            <w:vAlign w:val="center"/>
            <w:tcMar>
              <w:top w:w="40" w:type="dxa"/>
              <w:bottom w:w="40" w:type="dxa"/>
              <w:start w:w="90" w:type="dxa"/>
              <w:end w:w="90" w:type="dxa"/>
            </w:tcMar>
          </w:tcPr>
          <w:p>
            <w:pPr>
              <w:keepNext/>
              <w:spacing w:after="0" w:line="240" w:lineRule="auto"/>
              <w:jc w:val="center"/>
            </w:pPr>
            <w:r>
              <w:rPr>
                <w:sz w:val="17"/>
              </w:rPr>
              <w:t>yes</w:t>
            </w:r>
          </w:p>
        </w:tc>
      </w:tr>
      <w:tr>
        <w:trPr>
          <w:cantSplit/>
        </w:trPr>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2026</w:t>
            </w:r>
          </w:p>
        </w:tc>
        <w:tc>
          <w:tcPr>
            <w:tcW w:type="dxa" w:w="907"/>
            <w:vAlign w:val="center"/>
            <w:tcMar>
              <w:top w:w="40" w:type="dxa"/>
              <w:bottom w:w="40" w:type="dxa"/>
              <w:start w:w="90" w:type="dxa"/>
              <w:end w:w="90" w:type="dxa"/>
            </w:tcMar>
            <w:shd w:val="clear" w:color="auto" w:fill="F5F4F0"/>
          </w:tcPr>
          <w:p>
            <w:pPr>
              <w:keepNext/>
              <w:spacing w:after="0" w:line="240" w:lineRule="auto"/>
              <w:jc w:val="center"/>
            </w:pPr>
            <w:r>
              <w:rPr>
                <w:sz w:val="17"/>
              </w:rPr>
              <w:t>07</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2026.538</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78.1</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11.2</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1371</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provisional</w:t>
            </w:r>
          </w:p>
        </w:tc>
      </w:tr>
      <w:tr>
        <w:trPr>
          <w:cantSplit/>
        </w:trPr>
        <w:tc>
          <w:tcPr>
            <w:tcW w:type="dxa" w:w="1020"/>
            <w:vAlign w:val="center"/>
            <w:tcMar>
              <w:top w:w="40" w:type="dxa"/>
              <w:bottom w:w="40" w:type="dxa"/>
              <w:start w:w="90" w:type="dxa"/>
              <w:end w:w="90" w:type="dxa"/>
            </w:tcMar>
          </w:tcPr>
          <w:p>
            <w:pPr>
              <w:keepNext/>
              <w:spacing w:after="0" w:line="240" w:lineRule="auto"/>
              <w:jc w:val="center"/>
            </w:pPr>
            <w:r>
              <w:rPr>
                <w:sz w:val="17"/>
              </w:rPr>
              <w:t>2026</w:t>
            </w:r>
          </w:p>
        </w:tc>
        <w:tc>
          <w:tcPr>
            <w:tcW w:type="dxa" w:w="907"/>
            <w:vAlign w:val="center"/>
            <w:tcMar>
              <w:top w:w="40" w:type="dxa"/>
              <w:bottom w:w="40" w:type="dxa"/>
              <w:start w:w="90" w:type="dxa"/>
              <w:end w:w="90" w:type="dxa"/>
            </w:tcMar>
          </w:tcPr>
          <w:p>
            <w:pPr>
              <w:keepNext/>
              <w:spacing w:after="0" w:line="240" w:lineRule="auto"/>
              <w:jc w:val="center"/>
            </w:pPr>
            <w:r>
              <w:rPr>
                <w:sz w:val="17"/>
              </w:rPr>
              <w:t>08</w:t>
            </w:r>
          </w:p>
        </w:tc>
        <w:tc>
          <w:tcPr>
            <w:tcW w:type="dxa" w:w="1474"/>
            <w:vAlign w:val="center"/>
            <w:tcMar>
              <w:top w:w="40" w:type="dxa"/>
              <w:bottom w:w="40" w:type="dxa"/>
              <w:start w:w="90" w:type="dxa"/>
              <w:end w:w="90" w:type="dxa"/>
            </w:tcMar>
          </w:tcPr>
          <w:p>
            <w:pPr>
              <w:keepNext/>
              <w:spacing w:after="0" w:line="240" w:lineRule="auto"/>
              <w:jc w:val="center"/>
            </w:pPr>
            <w:r>
              <w:rPr>
                <w:sz w:val="17"/>
              </w:rPr>
              <w:t>2026.623</w:t>
            </w:r>
          </w:p>
        </w:tc>
        <w:tc>
          <w:tcPr>
            <w:tcW w:type="dxa" w:w="1134"/>
            <w:vAlign w:val="center"/>
            <w:tcMar>
              <w:top w:w="40" w:type="dxa"/>
              <w:bottom w:w="40" w:type="dxa"/>
              <w:start w:w="90" w:type="dxa"/>
              <w:end w:w="90" w:type="dxa"/>
            </w:tcMar>
          </w:tcPr>
          <w:p>
            <w:pPr>
              <w:keepNext/>
              <w:spacing w:after="0" w:line="240" w:lineRule="auto"/>
              <w:jc w:val="center"/>
            </w:pPr>
            <w:r>
              <w:rPr>
                <w:sz w:val="17"/>
              </w:rPr>
              <w:t>76.0</w:t>
            </w:r>
          </w:p>
        </w:tc>
        <w:tc>
          <w:tcPr>
            <w:tcW w:type="dxa" w:w="1361"/>
            <w:vAlign w:val="center"/>
            <w:tcMar>
              <w:top w:w="40" w:type="dxa"/>
              <w:bottom w:w="40" w:type="dxa"/>
              <w:start w:w="90" w:type="dxa"/>
              <w:end w:w="90" w:type="dxa"/>
            </w:tcMar>
          </w:tcPr>
          <w:p>
            <w:pPr>
              <w:keepNext/>
              <w:spacing w:after="0" w:line="240" w:lineRule="auto"/>
              <w:jc w:val="center"/>
            </w:pPr>
            <w:r>
              <w:rPr>
                <w:sz w:val="17"/>
              </w:rPr>
              <w:t>12.3</w:t>
            </w:r>
          </w:p>
        </w:tc>
        <w:tc>
          <w:tcPr>
            <w:tcW w:type="dxa" w:w="1701"/>
            <w:vAlign w:val="center"/>
            <w:tcMar>
              <w:top w:w="40" w:type="dxa"/>
              <w:bottom w:w="40" w:type="dxa"/>
              <w:start w:w="90" w:type="dxa"/>
              <w:end w:w="90" w:type="dxa"/>
            </w:tcMar>
          </w:tcPr>
          <w:p>
            <w:pPr>
              <w:keepNext/>
              <w:spacing w:after="0" w:line="240" w:lineRule="auto"/>
              <w:jc w:val="center"/>
            </w:pPr>
            <w:r>
              <w:rPr>
                <w:sz w:val="17"/>
              </w:rPr>
              <w:t>1248</w:t>
            </w:r>
          </w:p>
        </w:tc>
        <w:tc>
          <w:tcPr>
            <w:tcW w:type="dxa" w:w="2041"/>
            <w:vAlign w:val="center"/>
            <w:tcMar>
              <w:top w:w="40" w:type="dxa"/>
              <w:bottom w:w="40" w:type="dxa"/>
              <w:start w:w="90" w:type="dxa"/>
              <w:end w:w="90" w:type="dxa"/>
            </w:tcMar>
          </w:tcPr>
          <w:p>
            <w:pPr>
              <w:keepNext/>
              <w:spacing w:after="0" w:line="240" w:lineRule="auto"/>
              <w:jc w:val="center"/>
            </w:pPr>
            <w:r>
              <w:rPr>
                <w:sz w:val="17"/>
              </w:rPr>
              <w:t>provisional</w:t>
            </w:r>
          </w:p>
        </w:tc>
      </w:tr>
      <w:tr>
        <w:trPr>
          <w:cantSplit/>
        </w:trPr>
        <w:tc>
          <w:tcPr>
            <w:tcW w:type="dxa" w:w="1020"/>
            <w:vAlign w:val="center"/>
            <w:tcMar>
              <w:top w:w="40" w:type="dxa"/>
              <w:bottom w:w="40" w:type="dxa"/>
              <w:start w:w="90" w:type="dxa"/>
              <w:end w:w="90" w:type="dxa"/>
            </w:tcMar>
            <w:shd w:val="clear" w:color="auto" w:fill="F5F4F0"/>
          </w:tcPr>
          <w:p>
            <w:pPr>
              <w:spacing w:after="0" w:line="240" w:lineRule="auto"/>
              <w:jc w:val="center"/>
            </w:pPr>
            <w:r>
              <w:rPr>
                <w:sz w:val="17"/>
              </w:rPr>
              <w:t>2026</w:t>
            </w:r>
          </w:p>
        </w:tc>
        <w:tc>
          <w:tcPr>
            <w:tcW w:type="dxa" w:w="907"/>
            <w:vAlign w:val="center"/>
            <w:tcMar>
              <w:top w:w="40" w:type="dxa"/>
              <w:bottom w:w="40" w:type="dxa"/>
              <w:start w:w="90" w:type="dxa"/>
              <w:end w:w="90" w:type="dxa"/>
            </w:tcMar>
            <w:shd w:val="clear" w:color="auto" w:fill="F5F4F0"/>
          </w:tcPr>
          <w:p>
            <w:pPr>
              <w:spacing w:after="0" w:line="240" w:lineRule="auto"/>
              <w:jc w:val="center"/>
            </w:pPr>
            <w:r>
              <w:rPr>
                <w:sz w:val="17"/>
              </w:rPr>
              <w:t>09</w:t>
            </w:r>
          </w:p>
        </w:tc>
        <w:tc>
          <w:tcPr>
            <w:tcW w:type="dxa" w:w="1474"/>
            <w:vAlign w:val="center"/>
            <w:tcMar>
              <w:top w:w="40" w:type="dxa"/>
              <w:bottom w:w="40" w:type="dxa"/>
              <w:start w:w="90" w:type="dxa"/>
              <w:end w:w="90" w:type="dxa"/>
            </w:tcMar>
            <w:shd w:val="clear" w:color="auto" w:fill="F5F4F0"/>
          </w:tcPr>
          <w:p>
            <w:pPr>
              <w:spacing w:after="0" w:line="240" w:lineRule="auto"/>
              <w:jc w:val="center"/>
            </w:pPr>
            <w:r>
              <w:rPr>
                <w:sz w:val="17"/>
              </w:rPr>
              <w:t>2026.705</w:t>
            </w:r>
          </w:p>
        </w:tc>
        <w:tc>
          <w:tcPr>
            <w:tcW w:type="dxa" w:w="1134"/>
            <w:vAlign w:val="center"/>
            <w:tcMar>
              <w:top w:w="40" w:type="dxa"/>
              <w:bottom w:w="40" w:type="dxa"/>
              <w:start w:w="90" w:type="dxa"/>
              <w:end w:w="90" w:type="dxa"/>
            </w:tcMar>
            <w:shd w:val="clear" w:color="auto" w:fill="F5F4F0"/>
          </w:tcPr>
          <w:p>
            <w:pPr>
              <w:spacing w:after="0" w:line="240" w:lineRule="auto"/>
              <w:jc w:val="center"/>
            </w:pPr>
            <w:r>
              <w:rPr>
                <w:sz w:val="17"/>
              </w:rPr>
              <w:t>60.3</w:t>
            </w:r>
          </w:p>
        </w:tc>
        <w:tc>
          <w:tcPr>
            <w:tcW w:type="dxa" w:w="1361"/>
            <w:vAlign w:val="center"/>
            <w:tcMar>
              <w:top w:w="40" w:type="dxa"/>
              <w:bottom w:w="40" w:type="dxa"/>
              <w:start w:w="90" w:type="dxa"/>
              <w:end w:w="90" w:type="dxa"/>
            </w:tcMar>
            <w:shd w:val="clear" w:color="auto" w:fill="F5F4F0"/>
          </w:tcPr>
          <w:p>
            <w:pPr>
              <w:spacing w:after="0" w:line="240" w:lineRule="auto"/>
              <w:jc w:val="center"/>
            </w:pPr>
            <w:r>
              <w:rPr>
                <w:sz w:val="17"/>
              </w:rPr>
              <w:t>13.0</w:t>
            </w:r>
          </w:p>
        </w:tc>
        <w:tc>
          <w:tcPr>
            <w:tcW w:type="dxa" w:w="1701"/>
            <w:vAlign w:val="center"/>
            <w:tcMar>
              <w:top w:w="40" w:type="dxa"/>
              <w:bottom w:w="40" w:type="dxa"/>
              <w:start w:w="90" w:type="dxa"/>
              <w:end w:w="90" w:type="dxa"/>
            </w:tcMar>
            <w:shd w:val="clear" w:color="auto" w:fill="F5F4F0"/>
          </w:tcPr>
          <w:p>
            <w:pPr>
              <w:spacing w:after="0" w:line="240" w:lineRule="auto"/>
              <w:jc w:val="center"/>
            </w:pPr>
            <w:r>
              <w:rPr>
                <w:sz w:val="17"/>
              </w:rPr>
              <w:t>1117</w:t>
            </w:r>
          </w:p>
        </w:tc>
        <w:tc>
          <w:tcPr>
            <w:tcW w:type="dxa" w:w="2041"/>
            <w:vAlign w:val="center"/>
            <w:tcMar>
              <w:top w:w="40" w:type="dxa"/>
              <w:bottom w:w="40" w:type="dxa"/>
              <w:start w:w="90" w:type="dxa"/>
              <w:end w:w="90" w:type="dxa"/>
            </w:tcMar>
            <w:shd w:val="clear" w:color="auto" w:fill="F5F4F0"/>
          </w:tcPr>
          <w:p>
            <w:pPr>
              <w:spacing w:after="0" w:line="240" w:lineRule="auto"/>
              <w:jc w:val="center"/>
            </w:pPr>
            <w:r>
              <w:rPr>
                <w:sz w:val="17"/>
              </w:rPr>
              <w:t>provisional</w:t>
            </w:r>
          </w:p>
        </w:tc>
      </w:tr>
    </w:tbl>
    <w:p>
      <w:pPr>
        <w:spacing w:after="40"/>
      </w:pPr>
    </w:p>
    <w:p>
      <w:pPr>
        <w:keepNext/>
        <w:spacing w:before="80" w:after="40"/>
        <w:jc w:val="center"/>
      </w:pPr>
      <w:r>
        <w:drawing>
          <wp:inline xmlns:a="http://schemas.openxmlformats.org/drawingml/2006/main" xmlns:pic="http://schemas.openxmlformats.org/drawingml/2006/picture">
            <wp:extent cx="6120000" cy="2643840"/>
            <wp:docPr id="1" name="Picture 1"/>
            <wp:cNvGraphicFramePr>
              <a:graphicFrameLocks noChangeAspect="1"/>
            </wp:cNvGraphicFramePr>
            <a:graphic>
              <a:graphicData uri="http://schemas.openxmlformats.org/drawingml/2006/picture">
                <pic:pic>
                  <pic:nvPicPr>
                    <pic:cNvPr id="0" name="fig1_raw.png"/>
                    <pic:cNvPicPr/>
                  </pic:nvPicPr>
                  <pic:blipFill>
                    <a:blip r:embed="rId11"/>
                    <a:stretch>
                      <a:fillRect/>
                    </a:stretch>
                  </pic:blipFill>
                  <pic:spPr>
                    <a:xfrm>
                      <a:off x="0" y="0"/>
                      <a:ext cx="6120000" cy="2643840"/>
                    </a:xfrm>
                    <a:prstGeom prst="rect"/>
                  </pic:spPr>
                </pic:pic>
              </a:graphicData>
            </a:graphic>
          </wp:inline>
        </w:drawing>
      </w:r>
    </w:p>
    <w:p>
      <w:pPr>
        <w:pStyle w:val="Caption"/>
        <w:keepNext/>
        <w:spacing w:after="160" w:before="40"/>
        <w:jc w:val="both"/>
      </w:pPr>
      <w:r>
        <w:rPr>
          <w:b/>
        </w:rPr>
        <w:t xml:space="preserve">Figure 1. </w:t>
      </w:r>
      <w:r>
        <w:rPr>
          <w:b/>
        </w:rPr>
        <w:t>The monthly sunspot number and its 13-month running mean.</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About 25 cycles are visible. Their heights vary widely (smoothed maxima of only about 80 in the early 1800s, the Dalton Minimum, but almost 300 in 1958), and their spacing is roughly, but not exactly, 11 years. The latest cycle (Cycle 25) peaked at a smoothed value of 159 around 2024.8. The monthly values scatter strongly around the smooth curve, so the period should be measured statistically rather than by eye.</w:t>
            </w:r>
          </w:p>
        </w:tc>
      </w:tr>
    </w:tbl>
    <w:p>
      <w:pPr>
        <w:spacing w:after="40"/>
      </w:pPr>
    </w:p>
    <w:p>
      <w:pPr>
        <w:pStyle w:val="Heading1"/>
      </w:pPr>
      <w:r>
        <w:t>5.  Methodology and Implementation</w:t>
      </w:r>
    </w:p>
    <w:p>
      <w:pPr>
        <w:keepNext/>
        <w:jc w:val="both"/>
      </w:pPr>
      <w:r>
        <w:t>The mean is removed, the biased ACF is computed up to 50 years of lag, and the period is taken as the largest ACF value between 60 and 200 months, refined by fitting a parabola through the peak and its neighbours. The same estimator is applied to four 70-year epochs, to the residual and the first difference, and to the record with added white noise.</w:t>
      </w:r>
    </w:p>
    <w:p>
      <w:pPr>
        <w:pStyle w:val="Caption"/>
        <w:keepNext/>
        <w:spacing w:after="60" w:before="120"/>
        <w:jc w:val="center"/>
      </w:pPr>
      <w:r>
        <w:rPr>
          <w:b/>
        </w:rPr>
        <w:t xml:space="preserve">Table 4.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URL, lags, smoothing length, epochs, noise levels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SILSO file once, cache, mark and fill missing months</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autocorr.py</w:t>
            </w:r>
          </w:p>
        </w:tc>
        <w:tc>
          <w:tcPr>
            <w:tcW w:type="dxa" w:w="7257"/>
            <w:vAlign w:val="center"/>
            <w:tcMar>
              <w:top w:w="40" w:type="dxa"/>
              <w:bottom w:w="40" w:type="dxa"/>
              <w:start w:w="90" w:type="dxa"/>
              <w:end w:w="90" w:type="dxa"/>
            </w:tcMar>
          </w:tcPr>
          <w:p>
            <w:pPr>
              <w:keepNext/>
              <w:spacing w:after="0" w:line="240" w:lineRule="auto"/>
              <w:jc w:val="left"/>
            </w:pPr>
            <w:r>
              <w:rPr>
                <w:sz w:val="18"/>
              </w:rPr>
              <w:t>Three autocorrelation methods, biased / unbiased ACF, bounds, period finder</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Main ACF, property checks, whiteness tests, epochs, noise robustness</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periodicity detector</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test_autocorr.py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10 unit tests (properties, sinusoid ACF = cosine, white-noise bound): all pass</w:t>
            </w:r>
          </w:p>
        </w:tc>
      </w:tr>
    </w:tbl>
    <w:p>
      <w:pPr>
        <w:spacing w:after="40"/>
      </w:pPr>
    </w:p>
    <w:p>
      <w:pPr>
        <w:keepNext/>
        <w:spacing w:before="120" w:after="40"/>
      </w:pPr>
      <w:r>
        <w:rPr>
          <w:b/>
          <w:sz w:val="19"/>
        </w:rPr>
        <w:t>Core of autocorr.py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autocorr_direct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max_lag</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r[l] = sum x[n] x[n - l]</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array</w:t>
            </w:r>
            <w:r>
              <w:rPr>
                <w:rFonts w:ascii="Consolas" w:hAnsi="Consolas"/>
                <w:sz w:val="15"/>
              </w:rPr>
              <w:t>(</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dot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l</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01080"/>
                <w:sz w:val="15"/>
              </w:rPr>
              <w:t>max_lag</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3  </w:t>
            </w:r>
          </w:p>
          <w:p>
            <w:pPr>
              <w:keepNext/>
              <w:spacing w:after="0" w:before="0" w:line="240" w:lineRule="auto"/>
            </w:pPr>
            <w:r>
              <w:rPr>
                <w:rFonts w:ascii="Consolas" w:hAnsi="Consolas"/>
                <w:color w:val="A0A0A0"/>
                <w:sz w:val="15"/>
              </w:rPr>
              <w:t xml:space="preserve"> 4  </w:t>
            </w:r>
            <w:r>
              <w:rPr>
                <w:rFonts w:ascii="Consolas" w:hAnsi="Consolas"/>
                <w:color w:val="0000C0"/>
                <w:sz w:val="15"/>
              </w:rPr>
              <w:t>def</w:t>
            </w:r>
            <w:r>
              <w:rPr>
                <w:rFonts w:ascii="Consolas" w:hAnsi="Consolas"/>
                <w:sz w:val="15"/>
              </w:rPr>
              <w:t xml:space="preserve"> </w:t>
            </w:r>
            <w:r>
              <w:rPr>
                <w:rFonts w:ascii="Consolas" w:hAnsi="Consolas"/>
                <w:color w:val="795E26"/>
                <w:sz w:val="15"/>
              </w:rPr>
              <w:t>autocorr_conv</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r[l] = x[l] * x[-l]</w:t>
            </w:r>
          </w:p>
          <w:p>
            <w:pPr>
              <w:keepNext/>
              <w:spacing w:after="0" w:before="0" w:line="240" w:lineRule="auto"/>
            </w:pPr>
            <w:r>
              <w:rPr>
                <w:rFonts w:ascii="Consolas" w:hAnsi="Consolas"/>
                <w:color w:val="A0A0A0"/>
                <w:sz w:val="15"/>
              </w:rPr>
              <w:t xml:space="preserve"> 5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convolve</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w:t>
            </w:r>
            <w:r>
              <w:rPr>
                <w:rFonts w:ascii="Consolas" w:hAnsi="Consolas"/>
                <w:color w:val="000000"/>
                <w:sz w:val="15"/>
              </w:rPr>
              <w:t>-</w:t>
            </w:r>
            <w:r>
              <w:rPr>
                <w:rFonts w:ascii="Consolas" w:hAnsi="Consolas"/>
                <w:color w:val="098658"/>
                <w:sz w:val="15"/>
              </w:rPr>
              <w:t>1</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6  </w:t>
            </w:r>
          </w:p>
          <w:p>
            <w:pPr>
              <w:keepNext/>
              <w:spacing w:after="0" w:before="0" w:line="240" w:lineRule="auto"/>
            </w:pPr>
            <w:r>
              <w:rPr>
                <w:rFonts w:ascii="Consolas" w:hAnsi="Consolas"/>
                <w:color w:val="A0A0A0"/>
                <w:sz w:val="15"/>
              </w:rPr>
              <w:t xml:space="preserve"> 7  </w:t>
            </w:r>
            <w:r>
              <w:rPr>
                <w:rFonts w:ascii="Consolas" w:hAnsi="Consolas"/>
                <w:color w:val="0000C0"/>
                <w:sz w:val="15"/>
              </w:rPr>
              <w:t>def</w:t>
            </w:r>
            <w:r>
              <w:rPr>
                <w:rFonts w:ascii="Consolas" w:hAnsi="Consolas"/>
                <w:sz w:val="15"/>
              </w:rPr>
              <w:t xml:space="preserve"> </w:t>
            </w:r>
            <w:r>
              <w:rPr>
                <w:rFonts w:ascii="Consolas" w:hAnsi="Consolas"/>
                <w:color w:val="795E26"/>
                <w:sz w:val="15"/>
              </w:rPr>
              <w:t>autocorr_fft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max_lag</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Wiener-Khinchin: r = IDFT{|X|^2}</w:t>
            </w:r>
          </w:p>
          <w:p>
            <w:pPr>
              <w:keepNext/>
              <w:spacing w:after="0" w:before="0" w:line="240" w:lineRule="auto"/>
            </w:pPr>
            <w:r>
              <w:rPr>
                <w:rFonts w:ascii="Consolas" w:hAnsi="Consolas"/>
                <w:color w:val="A0A0A0"/>
                <w:sz w:val="15"/>
              </w:rPr>
              <w:t xml:space="preserve"> 8  </w:t>
            </w:r>
            <w:r>
              <w:rPr>
                <w:rFonts w:ascii="Consolas" w:hAnsi="Consolas"/>
                <w:sz w:val="15"/>
              </w:rPr>
              <w:t xml:space="preserve">    </w:t>
            </w:r>
            <w:r>
              <w:rPr>
                <w:rFonts w:ascii="Consolas" w:hAnsi="Consolas"/>
                <w:color w:val="001080"/>
                <w:sz w:val="15"/>
              </w:rPr>
              <w:t>nfft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 xml:space="preserve"> </w:t>
            </w:r>
            <w:r>
              <w:rPr>
                <w:rFonts w:ascii="Consolas" w:hAnsi="Consolas"/>
                <w:color w:val="000000"/>
                <w:sz w:val="15"/>
              </w:rPr>
              <w:t>&lt;&lt;</w:t>
            </w:r>
            <w:r>
              <w:rPr>
                <w:rFonts w:ascii="Consolas" w:hAnsi="Consolas"/>
                <w:sz w:val="15"/>
              </w:rPr>
              <w:t xml:space="preserve"> </w:t>
            </w:r>
            <w:r>
              <w:rPr>
                <w:rFonts w:ascii="Consolas" w:hAnsi="Consolas"/>
                <w:color w:val="795E26"/>
                <w:sz w:val="15"/>
              </w:rPr>
              <w:t>int</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ceil</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log2</w:t>
            </w:r>
            <w:r>
              <w:rPr>
                <w:rFonts w:ascii="Consolas" w:hAnsi="Consolas"/>
                <w:sz w:val="15"/>
              </w:rPr>
              <w:t>(</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pad: no circular wrap</w:t>
            </w:r>
          </w:p>
          <w:p>
            <w:pPr>
              <w:keepNext/>
              <w:spacing w:after="0" w:before="0" w:line="240" w:lineRule="auto"/>
            </w:pPr>
            <w:r>
              <w:rPr>
                <w:rFonts w:ascii="Consolas" w:hAnsi="Consolas"/>
                <w:color w:val="A0A0A0"/>
                <w:sz w:val="15"/>
              </w:rPr>
              <w:t xml:space="preserve"> 9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irfft</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abs</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nfft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color w:val="000000"/>
                <w:sz w:val="15"/>
              </w:rPr>
              <w:t>*</w:t>
            </w:r>
            <w:r>
              <w:rPr>
                <w:rFonts w:ascii="Consolas" w:hAnsi="Consolas"/>
                <w:sz w:val="15"/>
              </w:rPr>
              <w:t xml:space="preserve"> </w:t>
            </w:r>
            <w:r>
              <w:rPr>
                <w:rFonts w:ascii="Consolas" w:hAnsi="Consolas"/>
                <w:color w:val="098658"/>
                <w:sz w:val="15"/>
              </w:rPr>
              <w:t>2</w:t>
            </w:r>
            <w:r>
              <w:rPr>
                <w:rFonts w:ascii="Consolas" w:hAnsi="Consolas"/>
                <w:sz w:val="15"/>
              </w:rPr>
              <w:t>,</w:t>
            </w:r>
            <w:r>
              <w:rPr>
                <w:rFonts w:ascii="Consolas" w:hAnsi="Consolas"/>
                <w:sz w:val="15"/>
              </w:rPr>
              <w:t xml:space="preserve"> </w:t>
            </w:r>
            <w:r>
              <w:rPr>
                <w:rFonts w:ascii="Consolas" w:hAnsi="Consolas"/>
                <w:color w:val="001080"/>
                <w:sz w:val="15"/>
              </w:rPr>
              <w:t>nfft</w:t>
            </w:r>
            <w:r>
              <w:rPr>
                <w:rFonts w:ascii="Consolas" w:hAnsi="Consolas"/>
                <w:sz w:val="15"/>
              </w:rPr>
              <w:t>)</w:t>
            </w:r>
            <w:r>
              <w:rPr>
                <w:rFonts w:ascii="Consolas" w:hAnsi="Consolas"/>
                <w:sz w:val="15"/>
              </w:rPr>
              <w:t>[</w:t>
            </w:r>
            <w:r>
              <w:rPr>
                <w:rFonts w:ascii="Consolas" w:hAnsi="Consolas"/>
                <w:sz w:val="15"/>
              </w:rPr>
              <w:t>:</w:t>
            </w:r>
            <w:r>
              <w:rPr>
                <w:rFonts w:ascii="Consolas" w:hAnsi="Consolas"/>
                <w:color w:val="001080"/>
                <w:sz w:val="15"/>
              </w:rPr>
              <w:t>max_lag</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p>
          <w:p>
            <w:pPr>
              <w:keepNext/>
              <w:spacing w:after="0" w:before="0" w:line="240" w:lineRule="auto"/>
            </w:pPr>
            <w:r>
              <w:rPr>
                <w:rFonts w:ascii="Consolas" w:hAnsi="Consolas"/>
                <w:color w:val="A0A0A0"/>
                <w:sz w:val="15"/>
              </w:rPr>
              <w:t xml:space="preserve">10  </w:t>
            </w:r>
          </w:p>
          <w:p>
            <w:pPr>
              <w:keepNext/>
              <w:spacing w:after="0" w:before="0" w:line="240" w:lineRule="auto"/>
            </w:pPr>
            <w:r>
              <w:rPr>
                <w:rFonts w:ascii="Consolas" w:hAnsi="Consolas"/>
                <w:color w:val="A0A0A0"/>
                <w:sz w:val="15"/>
              </w:rPr>
              <w:t xml:space="preserve">11  </w:t>
            </w:r>
            <w:r>
              <w:rPr>
                <w:rFonts w:ascii="Consolas" w:hAnsi="Consolas"/>
                <w:color w:val="0000C0"/>
                <w:sz w:val="15"/>
              </w:rPr>
              <w:t>def</w:t>
            </w:r>
            <w:r>
              <w:rPr>
                <w:rFonts w:ascii="Consolas" w:hAnsi="Consolas"/>
                <w:sz w:val="15"/>
              </w:rPr>
              <w:t xml:space="preserve"> </w:t>
            </w:r>
            <w:r>
              <w:rPr>
                <w:rFonts w:ascii="Consolas" w:hAnsi="Consolas"/>
                <w:color w:val="795E26"/>
                <w:sz w:val="15"/>
              </w:rPr>
              <w:t>acf</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max_lag</w:t>
            </w:r>
            <w:r>
              <w:rPr>
                <w:rFonts w:ascii="Consolas" w:hAnsi="Consolas"/>
                <w:sz w:val="15"/>
              </w:rPr>
              <w:t>,</w:t>
            </w:r>
            <w:r>
              <w:rPr>
                <w:rFonts w:ascii="Consolas" w:hAnsi="Consolas"/>
                <w:sz w:val="15"/>
              </w:rPr>
              <w:t xml:space="preserve"> </w:t>
            </w:r>
            <w:r>
              <w:rPr>
                <w:rFonts w:ascii="Consolas" w:hAnsi="Consolas"/>
                <w:color w:val="001080"/>
                <w:sz w:val="15"/>
              </w:rPr>
              <w:t>unbiased</w:t>
            </w:r>
            <w:r>
              <w:rPr>
                <w:rFonts w:ascii="Consolas" w:hAnsi="Consolas"/>
                <w:color w:val="000000"/>
                <w:sz w:val="15"/>
              </w:rPr>
              <w:t>=</w:t>
            </w:r>
            <w:r>
              <w:rPr>
                <w:rFonts w:ascii="Consolas" w:hAnsi="Consolas"/>
                <w:color w:val="0000C0"/>
                <w:sz w:val="15"/>
              </w:rPr>
              <w:t>False</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rho[l] = r[l] / r[0]</w:t>
            </w:r>
          </w:p>
          <w:p>
            <w:pPr>
              <w:keepNext/>
              <w:spacing w:after="0" w:before="0" w:line="240" w:lineRule="auto"/>
            </w:pPr>
            <w:r>
              <w:rPr>
                <w:rFonts w:ascii="Consolas" w:hAnsi="Consolas"/>
                <w:color w:val="A0A0A0"/>
                <w:sz w:val="15"/>
              </w:rPr>
              <w:t xml:space="preserve">12  </w:t>
            </w:r>
            <w:r>
              <w:rPr>
                <w:rFonts w:ascii="Consolas" w:hAnsi="Consolas"/>
                <w:sz w:val="15"/>
              </w:rPr>
              <w:t xml:space="preserve">    </w:t>
            </w:r>
            <w:r>
              <w:rPr>
                <w:rFonts w:ascii="Consolas" w:hAnsi="Consolas"/>
                <w:color w:val="001080"/>
                <w:sz w:val="15"/>
              </w:rPr>
              <w:t>x</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w:t>
            </w:r>
            <w:r>
              <w:rPr>
                <w:rFonts w:ascii="Consolas" w:hAnsi="Consolas"/>
                <w:color w:val="000000"/>
                <w:sz w:val="15"/>
              </w:rPr>
              <w:t>.</w:t>
            </w:r>
            <w:r>
              <w:rPr>
                <w:rFonts w:ascii="Consolas" w:hAnsi="Consolas"/>
                <w:color w:val="001080"/>
                <w:sz w:val="15"/>
              </w:rPr>
              <w:t>mean</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13  </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autocorr_fft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max_lag</w:t>
            </w:r>
            <w:r>
              <w:rPr>
                <w:rFonts w:ascii="Consolas" w:hAnsi="Consolas"/>
                <w:sz w:val="15"/>
              </w:rPr>
              <w:t>)</w:t>
            </w:r>
          </w:p>
          <w:p>
            <w:pPr>
              <w:keepNext/>
              <w:spacing w:after="0" w:before="0" w:line="240" w:lineRule="auto"/>
            </w:pPr>
            <w:r>
              <w:rPr>
                <w:rFonts w:ascii="Consolas" w:hAnsi="Consolas"/>
                <w:color w:val="A0A0A0"/>
                <w:sz w:val="15"/>
              </w:rPr>
              <w:t xml:space="preserve">14  </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arange</w:t>
            </w:r>
            <w:r>
              <w:rPr>
                <w:rFonts w:ascii="Consolas" w:hAnsi="Consolas"/>
                <w:sz w:val="15"/>
              </w:rPr>
              <w:t>(</w:t>
            </w:r>
            <w:r>
              <w:rPr>
                <w:rFonts w:ascii="Consolas" w:hAnsi="Consolas"/>
                <w:color w:val="001080"/>
                <w:sz w:val="15"/>
              </w:rPr>
              <w:t>max_lag</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C0"/>
                <w:sz w:val="15"/>
              </w:rPr>
              <w:t>if</w:t>
            </w:r>
            <w:r>
              <w:rPr>
                <w:rFonts w:ascii="Consolas" w:hAnsi="Consolas"/>
                <w:sz w:val="15"/>
              </w:rPr>
              <w:t xml:space="preserve"> </w:t>
            </w:r>
            <w:r>
              <w:rPr>
                <w:rFonts w:ascii="Consolas" w:hAnsi="Consolas"/>
                <w:color w:val="001080"/>
                <w:sz w:val="15"/>
              </w:rPr>
              <w:t>unbiased</w:t>
            </w:r>
            <w:r>
              <w:rPr>
                <w:rFonts w:ascii="Consolas" w:hAnsi="Consolas"/>
                <w:sz w:val="15"/>
              </w:rPr>
              <w:t xml:space="preserve"> </w:t>
            </w:r>
            <w:r>
              <w:rPr>
                <w:rFonts w:ascii="Consolas" w:hAnsi="Consolas"/>
                <w:color w:val="0000C0"/>
                <w:sz w:val="15"/>
              </w:rPr>
              <w:t>else</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p>
          <w:p>
            <w:pPr>
              <w:keepNext/>
              <w:spacing w:after="0" w:before="0" w:line="240" w:lineRule="auto"/>
            </w:pPr>
            <w:r>
              <w:rPr>
                <w:rFonts w:ascii="Consolas" w:hAnsi="Consolas"/>
                <w:color w:val="A0A0A0"/>
                <w:sz w:val="15"/>
              </w:rPr>
              <w:t xml:space="preserve">15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r</w:t>
            </w:r>
            <w:r>
              <w:rPr>
                <w:rFonts w:ascii="Consolas" w:hAnsi="Consolas"/>
                <w:sz w:val="15"/>
              </w:rPr>
              <w:t>[</w:t>
            </w:r>
            <w:r>
              <w:rPr>
                <w:rFonts w:ascii="Consolas" w:hAnsi="Consolas"/>
                <w:color w:val="098658"/>
                <w:sz w:val="15"/>
              </w:rPr>
              <w:t>0</w:t>
            </w:r>
            <w:r>
              <w:rPr>
                <w:rFonts w:ascii="Consolas" w:hAnsi="Consolas"/>
                <w:sz w:val="15"/>
              </w:rPr>
              <w:t>]</w:t>
            </w:r>
          </w:p>
          <w:p>
            <w:pPr>
              <w:keepNext w:val="0"/>
              <w:spacing w:after="0" w:before="0" w:line="240" w:lineRule="auto"/>
            </w:pPr>
            <w:r>
              <w:rPr>
                <w:rFonts w:ascii="Consolas" w:hAnsi="Consolas"/>
                <w:color w:val="A0A0A0"/>
                <w:sz w:val="15"/>
              </w:rPr>
              <w:t xml:space="preserve">16  </w:t>
            </w:r>
          </w:p>
        </w:tc>
      </w:tr>
    </w:tbl>
    <w:p>
      <w:pPr>
        <w:spacing w:after="40"/>
      </w:pPr>
    </w:p>
    <w:p>
      <w:pPr>
        <w:keepNext w:val="0"/>
        <w:jc w:val="both"/>
      </w:pPr>
      <w:r>
        <w:rPr>
          <w:b/>
        </w:rPr>
        <w:t>GUI.</w:t>
      </w:r>
      <w:r>
        <w:t xml:space="preserve"> </w:t>
      </w:r>
      <w:r>
        <w:rPr>
          <w:rFonts w:ascii="Consolas" w:hAnsi="Consolas"/>
          <w:sz w:val="19"/>
        </w:rPr>
        <w:t>gui.py</w:t>
      </w:r>
      <w:r>
        <w:t xml:space="preserve"> (Figure 2) lets the user choose the raw, smoothed, residual or differenced series, any span of years, the maximum lag and the estimator, and add white noise of any strength. It shows the signal, its ACF with the 95 % band, the detected period with a significance check, and the first zero crossing. Run </w:t>
      </w:r>
      <w:r>
        <w:rPr>
          <w:rFonts w:ascii="Consolas" w:hAnsi="Consolas"/>
          <w:sz w:val="19"/>
        </w:rPr>
        <w:t>python run_experiment.py</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6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periodicity detector with noise twice as strong as the signal (SNR −6 dB).</w:t>
      </w:r>
      <w:r>
        <w:t xml:space="preserve">  </w:t>
      </w:r>
      <w:r>
        <w:rPr>
          <w:sz w:val="19"/>
        </w:rPr>
        <w:t>The cycle is invisible in the time series but the ACF still peaks at about 10 years, above the band.</w:t>
      </w:r>
    </w:p>
    <w:p>
      <w:pPr>
        <w:pStyle w:val="Heading1"/>
      </w:pPr>
      <w:r>
        <w:t>6.  Calculations</w:t>
      </w:r>
    </w:p>
    <w:p>
      <w:pPr>
        <w:keepNext/>
        <w:jc w:val="both"/>
      </w:pPr>
      <w:r>
        <w:rPr>
          <w:b/>
        </w:rPr>
        <w:t>Hand example.</w:t>
      </w:r>
      <w:r>
        <w:t xml:space="preserve"> For x[n] = {2, −1, 3, 1} (n = 0 … 3), each lag multiplies the sequence with a shifted copy and adds the overlapping products:</w:t>
      </w:r>
    </w:p>
    <w:p>
      <w:pPr>
        <w:pStyle w:val="Caption"/>
        <w:keepNext/>
        <w:spacing w:after="60" w:before="120"/>
        <w:jc w:val="center"/>
      </w:pPr>
      <w:r>
        <w:rPr>
          <w:b/>
        </w:rPr>
        <w:t xml:space="preserve">Table 5. </w:t>
      </w:r>
      <w:r>
        <w:rPr>
          <w:b/>
        </w:rPr>
        <w:t>Autocorrelation by hand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90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Lag l</w:t>
            </w:r>
          </w:p>
        </w:tc>
        <w:tc>
          <w:tcPr>
            <w:tcW w:type="dxa" w:w="4876"/>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Overlapping products x[n]·x[n − l]</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r[l]</w:t>
            </w:r>
          </w:p>
        </w:tc>
        <w:tc>
          <w:tcPr>
            <w:tcW w:type="dxa" w:w="249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ρ[l] = r[l]/r[0]</w:t>
            </w:r>
          </w:p>
        </w:tc>
      </w:tr>
      <w:tr>
        <w:trPr>
          <w:cantSplit/>
        </w:trPr>
        <w:tc>
          <w:tcPr>
            <w:tcW w:type="dxa" w:w="907"/>
            <w:vAlign w:val="center"/>
            <w:tcMar>
              <w:top w:w="40" w:type="dxa"/>
              <w:bottom w:w="40" w:type="dxa"/>
              <w:start w:w="90" w:type="dxa"/>
              <w:end w:w="90" w:type="dxa"/>
            </w:tcMar>
          </w:tcPr>
          <w:p>
            <w:pPr>
              <w:keepNext/>
              <w:spacing w:after="0" w:line="240" w:lineRule="auto"/>
              <w:jc w:val="center"/>
            </w:pPr>
            <w:r>
              <w:rPr>
                <w:sz w:val="18"/>
              </w:rPr>
              <w:t>0</w:t>
            </w:r>
          </w:p>
        </w:tc>
        <w:tc>
          <w:tcPr>
            <w:tcW w:type="dxa" w:w="4876"/>
            <w:vAlign w:val="center"/>
            <w:tcMar>
              <w:top w:w="40" w:type="dxa"/>
              <w:bottom w:w="40" w:type="dxa"/>
              <w:start w:w="90" w:type="dxa"/>
              <w:end w:w="90" w:type="dxa"/>
            </w:tcMar>
          </w:tcPr>
          <w:p>
            <w:pPr>
              <w:keepNext/>
              <w:spacing w:after="0" w:line="240" w:lineRule="auto"/>
              <w:jc w:val="left"/>
            </w:pPr>
            <w:r>
              <w:rPr>
                <w:sz w:val="18"/>
              </w:rPr>
              <w:t>2·2 + (−1)(−1) + 3·3 + 1·1</w:t>
            </w:r>
          </w:p>
        </w:tc>
        <w:tc>
          <w:tcPr>
            <w:tcW w:type="dxa" w:w="1361"/>
            <w:vAlign w:val="center"/>
            <w:tcMar>
              <w:top w:w="40" w:type="dxa"/>
              <w:bottom w:w="40" w:type="dxa"/>
              <w:start w:w="90" w:type="dxa"/>
              <w:end w:w="90" w:type="dxa"/>
            </w:tcMar>
          </w:tcPr>
          <w:p>
            <w:pPr>
              <w:keepNext/>
              <w:spacing w:after="0" w:line="240" w:lineRule="auto"/>
              <w:jc w:val="center"/>
            </w:pPr>
            <w:r>
              <w:rPr>
                <w:sz w:val="18"/>
              </w:rPr>
              <w:t>15</w:t>
            </w:r>
          </w:p>
        </w:tc>
        <w:tc>
          <w:tcPr>
            <w:tcW w:type="dxa" w:w="2494"/>
            <w:vAlign w:val="center"/>
            <w:tcMar>
              <w:top w:w="40" w:type="dxa"/>
              <w:bottom w:w="40" w:type="dxa"/>
              <w:start w:w="90" w:type="dxa"/>
              <w:end w:w="90" w:type="dxa"/>
            </w:tcMar>
          </w:tcPr>
          <w:p>
            <w:pPr>
              <w:keepNext/>
              <w:spacing w:after="0" w:line="240" w:lineRule="auto"/>
              <w:jc w:val="center"/>
            </w:pPr>
            <w:r>
              <w:rPr>
                <w:sz w:val="18"/>
              </w:rPr>
              <w:t>1.000</w:t>
            </w:r>
          </w:p>
        </w:tc>
      </w:tr>
      <w:tr>
        <w:trPr>
          <w:cantSplit/>
        </w:trPr>
        <w:tc>
          <w:tcPr>
            <w:tcW w:type="dxa" w:w="907"/>
            <w:vAlign w:val="center"/>
            <w:tcMar>
              <w:top w:w="40" w:type="dxa"/>
              <w:bottom w:w="40" w:type="dxa"/>
              <w:start w:w="90" w:type="dxa"/>
              <w:end w:w="90" w:type="dxa"/>
            </w:tcMar>
            <w:shd w:val="clear" w:color="auto" w:fill="F5F4F0"/>
          </w:tcPr>
          <w:p>
            <w:pPr>
              <w:keepNext/>
              <w:spacing w:after="0" w:line="240" w:lineRule="auto"/>
              <w:jc w:val="center"/>
            </w:pPr>
            <w:r>
              <w:rPr>
                <w:sz w:val="18"/>
              </w:rPr>
              <w:t>1</w:t>
            </w:r>
          </w:p>
        </w:tc>
        <w:tc>
          <w:tcPr>
            <w:tcW w:type="dxa" w:w="4876"/>
            <w:vAlign w:val="center"/>
            <w:tcMar>
              <w:top w:w="40" w:type="dxa"/>
              <w:bottom w:w="40" w:type="dxa"/>
              <w:start w:w="90" w:type="dxa"/>
              <w:end w:w="90" w:type="dxa"/>
            </w:tcMar>
            <w:shd w:val="clear" w:color="auto" w:fill="F5F4F0"/>
          </w:tcPr>
          <w:p>
            <w:pPr>
              <w:keepNext/>
              <w:spacing w:after="0" w:line="240" w:lineRule="auto"/>
              <w:jc w:val="left"/>
            </w:pPr>
            <w:r>
              <w:rPr>
                <w:sz w:val="18"/>
              </w:rPr>
              <w:t>(−1)·2 + 3·(−1) + 1·3</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-2</w:t>
            </w:r>
          </w:p>
        </w:tc>
        <w:tc>
          <w:tcPr>
            <w:tcW w:type="dxa" w:w="2494"/>
            <w:vAlign w:val="center"/>
            <w:tcMar>
              <w:top w:w="40" w:type="dxa"/>
              <w:bottom w:w="40" w:type="dxa"/>
              <w:start w:w="90" w:type="dxa"/>
              <w:end w:w="90" w:type="dxa"/>
            </w:tcMar>
            <w:shd w:val="clear" w:color="auto" w:fill="F5F4F0"/>
          </w:tcPr>
          <w:p>
            <w:pPr>
              <w:keepNext/>
              <w:spacing w:after="0" w:line="240" w:lineRule="auto"/>
              <w:jc w:val="center"/>
            </w:pPr>
            <w:r>
              <w:rPr>
                <w:sz w:val="18"/>
              </w:rPr>
              <w:t>-0.133</w:t>
            </w:r>
          </w:p>
        </w:tc>
      </w:tr>
      <w:tr>
        <w:trPr>
          <w:cantSplit/>
        </w:trPr>
        <w:tc>
          <w:tcPr>
            <w:tcW w:type="dxa" w:w="907"/>
            <w:vAlign w:val="center"/>
            <w:tcMar>
              <w:top w:w="40" w:type="dxa"/>
              <w:bottom w:w="40" w:type="dxa"/>
              <w:start w:w="90" w:type="dxa"/>
              <w:end w:w="90" w:type="dxa"/>
            </w:tcMar>
          </w:tcPr>
          <w:p>
            <w:pPr>
              <w:keepNext/>
              <w:spacing w:after="0" w:line="240" w:lineRule="auto"/>
              <w:jc w:val="center"/>
            </w:pPr>
            <w:r>
              <w:rPr>
                <w:sz w:val="18"/>
              </w:rPr>
              <w:t>2</w:t>
            </w:r>
          </w:p>
        </w:tc>
        <w:tc>
          <w:tcPr>
            <w:tcW w:type="dxa" w:w="4876"/>
            <w:vAlign w:val="center"/>
            <w:tcMar>
              <w:top w:w="40" w:type="dxa"/>
              <w:bottom w:w="40" w:type="dxa"/>
              <w:start w:w="90" w:type="dxa"/>
              <w:end w:w="90" w:type="dxa"/>
            </w:tcMar>
          </w:tcPr>
          <w:p>
            <w:pPr>
              <w:keepNext/>
              <w:spacing w:after="0" w:line="240" w:lineRule="auto"/>
              <w:jc w:val="left"/>
            </w:pPr>
            <w:r>
              <w:rPr>
                <w:sz w:val="18"/>
              </w:rPr>
              <w:t>3·2 + 1·(−1)</w:t>
            </w:r>
          </w:p>
        </w:tc>
        <w:tc>
          <w:tcPr>
            <w:tcW w:type="dxa" w:w="1361"/>
            <w:vAlign w:val="center"/>
            <w:tcMar>
              <w:top w:w="40" w:type="dxa"/>
              <w:bottom w:w="40" w:type="dxa"/>
              <w:start w:w="90" w:type="dxa"/>
              <w:end w:w="90" w:type="dxa"/>
            </w:tcMar>
          </w:tcPr>
          <w:p>
            <w:pPr>
              <w:keepNext/>
              <w:spacing w:after="0" w:line="240" w:lineRule="auto"/>
              <w:jc w:val="center"/>
            </w:pPr>
            <w:r>
              <w:rPr>
                <w:sz w:val="18"/>
              </w:rPr>
              <w:t>5</w:t>
            </w:r>
          </w:p>
        </w:tc>
        <w:tc>
          <w:tcPr>
            <w:tcW w:type="dxa" w:w="2494"/>
            <w:vAlign w:val="center"/>
            <w:tcMar>
              <w:top w:w="40" w:type="dxa"/>
              <w:bottom w:w="40" w:type="dxa"/>
              <w:start w:w="90" w:type="dxa"/>
              <w:end w:w="90" w:type="dxa"/>
            </w:tcMar>
          </w:tcPr>
          <w:p>
            <w:pPr>
              <w:keepNext/>
              <w:spacing w:after="0" w:line="240" w:lineRule="auto"/>
              <w:jc w:val="center"/>
            </w:pPr>
            <w:r>
              <w:rPr>
                <w:sz w:val="18"/>
              </w:rPr>
              <w:t>0.333</w:t>
            </w:r>
          </w:p>
        </w:tc>
      </w:tr>
      <w:tr>
        <w:trPr>
          <w:cantSplit/>
        </w:trPr>
        <w:tc>
          <w:tcPr>
            <w:tcW w:type="dxa" w:w="907"/>
            <w:vAlign w:val="center"/>
            <w:tcMar>
              <w:top w:w="40" w:type="dxa"/>
              <w:bottom w:w="40" w:type="dxa"/>
              <w:start w:w="90" w:type="dxa"/>
              <w:end w:w="90" w:type="dxa"/>
            </w:tcMar>
            <w:shd w:val="clear" w:color="auto" w:fill="F5F4F0"/>
          </w:tcPr>
          <w:p>
            <w:pPr>
              <w:spacing w:after="0" w:line="240" w:lineRule="auto"/>
              <w:jc w:val="center"/>
            </w:pPr>
            <w:r>
              <w:rPr>
                <w:sz w:val="18"/>
              </w:rPr>
              <w:t>3</w:t>
            </w:r>
          </w:p>
        </w:tc>
        <w:tc>
          <w:tcPr>
            <w:tcW w:type="dxa" w:w="4876"/>
            <w:vAlign w:val="center"/>
            <w:tcMar>
              <w:top w:w="40" w:type="dxa"/>
              <w:bottom w:w="40" w:type="dxa"/>
              <w:start w:w="90" w:type="dxa"/>
              <w:end w:w="90" w:type="dxa"/>
            </w:tcMar>
            <w:shd w:val="clear" w:color="auto" w:fill="F5F4F0"/>
          </w:tcPr>
          <w:p>
            <w:pPr>
              <w:spacing w:after="0" w:line="240" w:lineRule="auto"/>
              <w:jc w:val="left"/>
            </w:pPr>
            <w:r>
              <w:rPr>
                <w:sz w:val="18"/>
              </w:rPr>
              <w:t>1·2</w:t>
            </w:r>
          </w:p>
        </w:tc>
        <w:tc>
          <w:tcPr>
            <w:tcW w:type="dxa" w:w="1361"/>
            <w:vAlign w:val="center"/>
            <w:tcMar>
              <w:top w:w="40" w:type="dxa"/>
              <w:bottom w:w="40" w:type="dxa"/>
              <w:start w:w="90" w:type="dxa"/>
              <w:end w:w="90" w:type="dxa"/>
            </w:tcMar>
            <w:shd w:val="clear" w:color="auto" w:fill="F5F4F0"/>
          </w:tcPr>
          <w:p>
            <w:pPr>
              <w:spacing w:after="0" w:line="240" w:lineRule="auto"/>
              <w:jc w:val="center"/>
            </w:pPr>
            <w:r>
              <w:rPr>
                <w:sz w:val="18"/>
              </w:rPr>
              <w:t>2</w:t>
            </w:r>
          </w:p>
        </w:tc>
        <w:tc>
          <w:tcPr>
            <w:tcW w:type="dxa" w:w="2494"/>
            <w:vAlign w:val="center"/>
            <w:tcMar>
              <w:top w:w="40" w:type="dxa"/>
              <w:bottom w:w="40" w:type="dxa"/>
              <w:start w:w="90" w:type="dxa"/>
              <w:end w:w="90" w:type="dxa"/>
            </w:tcMar>
            <w:shd w:val="clear" w:color="auto" w:fill="F5F4F0"/>
          </w:tcPr>
          <w:p>
            <w:pPr>
              <w:spacing w:after="0" w:line="240" w:lineRule="auto"/>
              <w:jc w:val="center"/>
            </w:pPr>
            <w:r>
              <w:rPr>
                <w:sz w:val="18"/>
              </w:rPr>
              <w:t>0.133</w:t>
            </w:r>
          </w:p>
        </w:tc>
      </w:tr>
    </w:tbl>
    <w:p>
      <w:pPr>
        <w:spacing w:after="40"/>
      </w:pPr>
    </w:p>
    <w:p>
      <w:pPr>
        <w:keepNext w:val="0"/>
        <w:jc w:val="both"/>
      </w:pPr>
      <w:r>
        <w:t xml:space="preserve">By symmetry r[−1] = -2, r[−2] = 5, r[−3] = 2, so the full sequence has 2N − 1 = 7 values with its maximum r[0] = 15 = E_x at the centre. </w:t>
      </w:r>
      <w:r>
        <w:rPr>
          <w:b/>
        </w:rPr>
        <w:t>For the sunspot record:</w:t>
      </w:r>
      <w:r>
        <w:t xml:space="preserve"> the 95 % white-noise limit is 1.96/√3333 = 0.0339; the ACF peak at lag 128 with parabolic refinement gives 127.8 months ÷ 12 = </w:t>
      </w:r>
      <w:r>
        <w:rPr>
          <w:b/>
        </w:rPr>
        <w:t>10.65 years</w:t>
      </w:r>
      <w:r>
        <w:t xml:space="preserve">. Adding noise with standard deviation 3σ gives SNR = 10 log₁₀(1/3²) = -9.5 dB. The program reproduces the hand values exactly (checked by </w:t>
      </w:r>
      <w:r>
        <w:rPr>
          <w:rFonts w:ascii="Consolas" w:hAnsi="Consolas"/>
          <w:sz w:val="19"/>
        </w:rPr>
        <w:t>test_autocorr.py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3796312"/>
            <wp:docPr id="3" name="Picture 3"/>
            <wp:cNvGraphicFramePr>
              <a:graphicFrameLocks noChangeAspect="1"/>
            </wp:cNvGraphicFramePr>
            <a:graphic>
              <a:graphicData uri="http://schemas.openxmlformats.org/drawingml/2006/picture">
                <pic:pic>
                  <pic:nvPicPr>
                    <pic:cNvPr id="0" name="fig2_acf.png"/>
                    <pic:cNvPicPr/>
                  </pic:nvPicPr>
                  <pic:blipFill>
                    <a:blip r:embed="rId13"/>
                    <a:stretch>
                      <a:fillRect/>
                    </a:stretch>
                  </pic:blipFill>
                  <pic:spPr>
                    <a:xfrm>
                      <a:off x="0" y="0"/>
                      <a:ext cx="6120000" cy="3796312"/>
                    </a:xfrm>
                    <a:prstGeom prst="rect"/>
                  </pic:spPr>
                </pic:pic>
              </a:graphicData>
            </a:graphic>
          </wp:inline>
        </w:drawing>
      </w:r>
    </w:p>
    <w:p>
      <w:pPr>
        <w:pStyle w:val="Caption"/>
        <w:keepNext/>
        <w:spacing w:after="160" w:before="40"/>
        <w:jc w:val="both"/>
      </w:pPr>
      <w:r>
        <w:rPr>
          <w:b/>
        </w:rPr>
        <w:t xml:space="preserve">Figure 3. </w:t>
      </w:r>
      <w:r>
        <w:rPr>
          <w:b/>
        </w:rPr>
        <w:t>Normalised autocorrelation of the monthly sunspot number.</w:t>
      </w:r>
      <w:r>
        <w:t xml:space="preserve">  </w:t>
      </w:r>
      <w:r>
        <w:rPr>
          <w:sz w:val="19"/>
        </w:rPr>
        <w:t>(a) Lags up to 50 years with the 95 % white-noise band; (b) the first four years.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 xml:space="preserve">The ACF oscillates like a damped cosine. Its first peak is at </w:t>
            </w:r>
            <w:r>
              <w:rPr>
                <w:b/>
                <w:sz w:val="20"/>
              </w:rPr>
              <w:t>10.65 years</w:t>
            </w:r>
            <w:r>
              <w:rPr>
                <w:sz w:val="20"/>
              </w:rPr>
              <w:t xml:space="preserve"> (ρ = 0.579), far above the ±0.034 band, so the 11-year cycle is overwhelmingly significant. Further peaks at 21.8, 32.4, 43.2 years are integer multiples of the period.</w:t>
            </w:r>
          </w:p>
          <w:p>
            <w:pPr>
              <w:pStyle w:val="ListBullet"/>
              <w:spacing w:after="20"/>
            </w:pPr>
            <w:r>
              <w:rPr>
                <w:sz w:val="20"/>
              </w:rPr>
              <w:t>The peaks shrink (0.58, 0.35, 0.25, 0.19) because cycles differ in length and height, so the signal is only quasi-periodic. The deepest trough (ρ = -0.44 at 5.2 years) is half a cycle: maximum is followed by minimum.</w:t>
            </w:r>
          </w:p>
          <w:p>
            <w:pPr>
              <w:pStyle w:val="ListBullet"/>
              <w:spacing w:after="20"/>
            </w:pPr>
            <w:r>
              <w:rPr>
                <w:sz w:val="20"/>
              </w:rPr>
              <w:t>Neighbouring months are strongly related (ρ[1] = 0.918, ρ[12] = 0.724); the correlation falls below 0.5 after 20 months and crosses zero at 36 months, about a quarter of the cycle. Persistence forecasts are therefore useful for one to two years only.</w:t>
            </w:r>
          </w:p>
        </w:tc>
      </w:tr>
    </w:tbl>
    <w:p>
      <w:pPr>
        <w:spacing w:after="40"/>
      </w:pPr>
    </w:p>
    <w:p>
      <w:pPr>
        <w:keepNext/>
        <w:spacing w:before="80" w:after="40"/>
        <w:jc w:val="center"/>
      </w:pPr>
      <w:r>
        <w:drawing>
          <wp:inline xmlns:a="http://schemas.openxmlformats.org/drawingml/2006/main" xmlns:pic="http://schemas.openxmlformats.org/drawingml/2006/picture">
            <wp:extent cx="6120000" cy="2702147"/>
            <wp:docPr id="4" name="Picture 4"/>
            <wp:cNvGraphicFramePr>
              <a:graphicFrameLocks noChangeAspect="1"/>
            </wp:cNvGraphicFramePr>
            <a:graphic>
              <a:graphicData uri="http://schemas.openxmlformats.org/drawingml/2006/picture">
                <pic:pic>
                  <pic:nvPicPr>
                    <pic:cNvPr id="0" name="fig3_properties.png"/>
                    <pic:cNvPicPr/>
                  </pic:nvPicPr>
                  <pic:blipFill>
                    <a:blip r:embed="rId14"/>
                    <a:stretch>
                      <a:fillRect/>
                    </a:stretch>
                  </pic:blipFill>
                  <pic:spPr>
                    <a:xfrm>
                      <a:off x="0" y="0"/>
                      <a:ext cx="6120000" cy="2702147"/>
                    </a:xfrm>
                    <a:prstGeom prst="rect"/>
                  </pic:spPr>
                </pic:pic>
              </a:graphicData>
            </a:graphic>
          </wp:inline>
        </w:drawing>
      </w:r>
    </w:p>
    <w:p>
      <w:pPr>
        <w:pStyle w:val="Caption"/>
        <w:keepNext/>
        <w:spacing w:after="160" w:before="40"/>
        <w:jc w:val="both"/>
      </w:pPr>
      <w:r>
        <w:rPr>
          <w:b/>
        </w:rPr>
        <w:t xml:space="preserve">Figure 4. </w:t>
      </w:r>
      <w:r>
        <w:rPr>
          <w:b/>
        </w:rPr>
        <w:t>Properties of the autocorrelation sequence.</w:t>
      </w:r>
      <w:r>
        <w:t xml:space="preserve">  </w:t>
      </w:r>
      <w:r>
        <w:rPr>
          <w:sz w:val="19"/>
        </w:rPr>
        <w:t>(a) The full sequence for negative and positive lags; (b) biased versus unbiased estimates.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full sequence is exactly even (maximum asymmetry 0e+00) and never exceeds its value at l = 0, which equals the signal energy (difference 0e+00). The direct, convolution and FFT methods agreed to 4e-16. At large lags the unbiased estimate swings wildly, because it averages only the few remaining overlapping samples, while the biased estimate tapers smoothly to zero; this is why the biased estimator is used.</w:t>
            </w:r>
          </w:p>
        </w:tc>
      </w:tr>
    </w:tbl>
    <w:p>
      <w:pPr>
        <w:spacing w:after="40"/>
      </w:pPr>
    </w:p>
    <w:p>
      <w:pPr>
        <w:keepNext/>
        <w:spacing w:before="80" w:after="40"/>
        <w:jc w:val="center"/>
      </w:pPr>
      <w:r>
        <w:drawing>
          <wp:inline xmlns:a="http://schemas.openxmlformats.org/drawingml/2006/main" xmlns:pic="http://schemas.openxmlformats.org/drawingml/2006/picture">
            <wp:extent cx="6120000" cy="2609641"/>
            <wp:docPr id="5" name="Picture 5"/>
            <wp:cNvGraphicFramePr>
              <a:graphicFrameLocks noChangeAspect="1"/>
            </wp:cNvGraphicFramePr>
            <a:graphic>
              <a:graphicData uri="http://schemas.openxmlformats.org/drawingml/2006/picture">
                <pic:pic>
                  <pic:nvPicPr>
                    <pic:cNvPr id="0" name="fig4_noise.png"/>
                    <pic:cNvPicPr/>
                  </pic:nvPicPr>
                  <pic:blipFill>
                    <a:blip r:embed="rId15"/>
                    <a:stretch>
                      <a:fillRect/>
                    </a:stretch>
                  </pic:blipFill>
                  <pic:spPr>
                    <a:xfrm>
                      <a:off x="0" y="0"/>
                      <a:ext cx="6120000" cy="2609641"/>
                    </a:xfrm>
                    <a:prstGeom prst="rect"/>
                  </pic:spPr>
                </pic:pic>
              </a:graphicData>
            </a:graphic>
          </wp:inline>
        </w:drawing>
      </w:r>
    </w:p>
    <w:p>
      <w:pPr>
        <w:pStyle w:val="Caption"/>
        <w:keepNext/>
        <w:spacing w:after="160" w:before="40"/>
        <w:jc w:val="both"/>
      </w:pPr>
      <w:r>
        <w:rPr>
          <w:b/>
        </w:rPr>
        <w:t xml:space="preserve">Figure 5. </w:t>
      </w:r>
      <w:r>
        <w:rPr>
          <w:b/>
        </w:rPr>
        <w:t>Testing the leftover variation for whiteness.</w:t>
      </w:r>
      <w:r>
        <w:t xml:space="preserve">  </w:t>
      </w:r>
      <w:r>
        <w:rPr>
          <w:sz w:val="19"/>
        </w:rPr>
        <w:t>ACF of (a) the residual after removing the 13-month mean and (b) the month-to-month difference.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Neither is white noise. The residual has 21 of 36 lags outside the 95 % band (where about 2 would be expected by chance), with a positive ρ[1] = 0.23 and a negative dip at 3 to 6 months, partly created by the 13-month smoothing itself. The difference is close to white except for ρ[1] = -0.30: a high month tends to be followed by a lower one, the signature of independent counting errors added to a slowly varying signal. The ACF therefore tells us which kind of model the noise needs.</w:t>
            </w:r>
          </w:p>
        </w:tc>
      </w:tr>
    </w:tbl>
    <w:p>
      <w:pPr>
        <w:spacing w:after="40"/>
      </w:pPr>
    </w:p>
    <w:p>
      <w:pPr>
        <w:keepNext/>
        <w:spacing w:before="80" w:after="40"/>
        <w:jc w:val="center"/>
      </w:pPr>
      <w:r>
        <w:drawing>
          <wp:inline xmlns:a="http://schemas.openxmlformats.org/drawingml/2006/main" xmlns:pic="http://schemas.openxmlformats.org/drawingml/2006/picture">
            <wp:extent cx="6120000" cy="2730093"/>
            <wp:docPr id="6" name="Picture 6"/>
            <wp:cNvGraphicFramePr>
              <a:graphicFrameLocks noChangeAspect="1"/>
            </wp:cNvGraphicFramePr>
            <a:graphic>
              <a:graphicData uri="http://schemas.openxmlformats.org/drawingml/2006/picture">
                <pic:pic>
                  <pic:nvPicPr>
                    <pic:cNvPr id="0" name="fig5_windows_noise.png"/>
                    <pic:cNvPicPr/>
                  </pic:nvPicPr>
                  <pic:blipFill>
                    <a:blip r:embed="rId16"/>
                    <a:stretch>
                      <a:fillRect/>
                    </a:stretch>
                  </pic:blipFill>
                  <pic:spPr>
                    <a:xfrm>
                      <a:off x="0" y="0"/>
                      <a:ext cx="6120000" cy="2730093"/>
                    </a:xfrm>
                    <a:prstGeom prst="rect"/>
                  </pic:spPr>
                </pic:pic>
              </a:graphicData>
            </a:graphic>
          </wp:inline>
        </w:drawing>
      </w:r>
    </w:p>
    <w:p>
      <w:pPr>
        <w:pStyle w:val="Caption"/>
        <w:keepNext/>
        <w:spacing w:after="160" w:before="40"/>
        <w:jc w:val="both"/>
      </w:pPr>
      <w:r>
        <w:rPr>
          <w:b/>
        </w:rPr>
        <w:t xml:space="preserve">Figure 6. </w:t>
      </w:r>
      <w:r>
        <w:rPr>
          <w:b/>
        </w:rPr>
        <w:t>Stability and robustness of the period estimate.</w:t>
      </w:r>
      <w:r>
        <w:t xml:space="preserve">  </w:t>
      </w:r>
      <w:r>
        <w:rPr>
          <w:sz w:val="19"/>
        </w:rPr>
        <w:t>(a) ACF of four 70-year epochs; (b) the full record with added white noise.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Since 1818 the period is stable at 11.0, 10.7 and 10.7 years, but 1749 to 1818 gives only 9.3 years with a weak peak (ρ = 0.39): that epoch contains short cycles and the Dalton Minimum, and its early counts are the least reliable.</w:t>
            </w:r>
          </w:p>
          <w:p>
            <w:pPr>
              <w:pStyle w:val="ListBullet"/>
              <w:spacing w:after="20"/>
            </w:pPr>
            <w:r>
              <w:rPr>
                <w:sz w:val="20"/>
              </w:rPr>
              <w:t>With noise as strong as the signal (0 dB) the period is still 10.3 years; at -10 dB it is 11.2 years with a small but significant peak (0.094). At -16 dB the peak (0.046) sinks to the noise band (0.034) and the estimate (8.9 years) is unreliable.</w:t>
            </w:r>
          </w:p>
        </w:tc>
      </w:tr>
    </w:tbl>
    <w:p>
      <w:pPr>
        <w:spacing w:after="40"/>
      </w:pPr>
    </w:p>
    <w:p>
      <w:pPr>
        <w:pStyle w:val="Caption"/>
        <w:keepNext/>
        <w:spacing w:after="60" w:before="120"/>
        <w:jc w:val="center"/>
      </w:pPr>
      <w:r>
        <w:rPr>
          <w:b/>
        </w:rPr>
        <w:t xml:space="preserve">Table 6. </w:t>
      </w:r>
      <w:r>
        <w:rPr>
          <w:b/>
        </w:rPr>
        <w:t>Summary of results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3969"/>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Quantity</w:t>
            </w:r>
          </w:p>
        </w:tc>
        <w:tc>
          <w:tcPr>
            <w:tcW w:type="dxa" w:w="5669"/>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Result</w:t>
            </w:r>
          </w:p>
        </w:tc>
      </w:tr>
      <w:tr>
        <w:trPr>
          <w:cantSplit/>
        </w:trPr>
        <w:tc>
          <w:tcPr>
            <w:tcW w:type="dxa" w:w="3969"/>
            <w:vAlign w:val="center"/>
            <w:tcMar>
              <w:top w:w="40" w:type="dxa"/>
              <w:bottom w:w="40" w:type="dxa"/>
              <w:start w:w="90" w:type="dxa"/>
              <w:end w:w="90" w:type="dxa"/>
            </w:tcMar>
          </w:tcPr>
          <w:p>
            <w:pPr>
              <w:keepNext/>
              <w:spacing w:after="0" w:line="240" w:lineRule="auto"/>
              <w:jc w:val="left"/>
            </w:pPr>
            <w:r>
              <w:rPr>
                <w:b/>
                <w:sz w:val="18"/>
              </w:rPr>
              <w:t>Solar-cycle period from the ACF</w:t>
            </w:r>
          </w:p>
        </w:tc>
        <w:tc>
          <w:tcPr>
            <w:tcW w:type="dxa" w:w="5669"/>
            <w:vAlign w:val="center"/>
            <w:tcMar>
              <w:top w:w="40" w:type="dxa"/>
              <w:bottom w:w="40" w:type="dxa"/>
              <w:start w:w="90" w:type="dxa"/>
              <w:end w:w="90" w:type="dxa"/>
            </w:tcMar>
          </w:tcPr>
          <w:p>
            <w:pPr>
              <w:keepNext/>
              <w:spacing w:after="0" w:line="240" w:lineRule="auto"/>
              <w:jc w:val="left"/>
            </w:pPr>
            <w:r>
              <w:rPr>
                <w:sz w:val="18"/>
              </w:rPr>
              <w:t>10.65 years (ρ = 0.579)</w:t>
            </w:r>
          </w:p>
        </w:tc>
      </w:tr>
      <w:tr>
        <w:trPr>
          <w:cantSplit/>
        </w:trPr>
        <w:tc>
          <w:tcPr>
            <w:tcW w:type="dxa" w:w="3969"/>
            <w:vAlign w:val="center"/>
            <w:tcMar>
              <w:top w:w="40" w:type="dxa"/>
              <w:bottom w:w="40" w:type="dxa"/>
              <w:start w:w="90" w:type="dxa"/>
              <w:end w:w="90" w:type="dxa"/>
            </w:tcMar>
            <w:shd w:val="clear" w:color="auto" w:fill="F5F4F0"/>
          </w:tcPr>
          <w:p>
            <w:pPr>
              <w:keepNext/>
              <w:spacing w:after="0" w:line="240" w:lineRule="auto"/>
              <w:jc w:val="left"/>
            </w:pPr>
            <w:r>
              <w:rPr>
                <w:b/>
                <w:sz w:val="18"/>
              </w:rPr>
              <w:t>Multiples of the period</w:t>
            </w:r>
          </w:p>
        </w:tc>
        <w:tc>
          <w:tcPr>
            <w:tcW w:type="dxa" w:w="5669"/>
            <w:vAlign w:val="center"/>
            <w:tcMar>
              <w:top w:w="40" w:type="dxa"/>
              <w:bottom w:w="40" w:type="dxa"/>
              <w:start w:w="90" w:type="dxa"/>
              <w:end w:w="90" w:type="dxa"/>
            </w:tcMar>
            <w:shd w:val="clear" w:color="auto" w:fill="F5F4F0"/>
          </w:tcPr>
          <w:p>
            <w:pPr>
              <w:keepNext/>
              <w:spacing w:after="0" w:line="240" w:lineRule="auto"/>
              <w:jc w:val="left"/>
            </w:pPr>
            <w:r>
              <w:rPr>
                <w:sz w:val="18"/>
              </w:rPr>
              <w:t>21.8 y, 32.4 y, 43.2 y</w:t>
            </w:r>
          </w:p>
        </w:tc>
      </w:tr>
      <w:tr>
        <w:trPr>
          <w:cantSplit/>
        </w:trPr>
        <w:tc>
          <w:tcPr>
            <w:tcW w:type="dxa" w:w="3969"/>
            <w:vAlign w:val="center"/>
            <w:tcMar>
              <w:top w:w="40" w:type="dxa"/>
              <w:bottom w:w="40" w:type="dxa"/>
              <w:start w:w="90" w:type="dxa"/>
              <w:end w:w="90" w:type="dxa"/>
            </w:tcMar>
          </w:tcPr>
          <w:p>
            <w:pPr>
              <w:keepNext/>
              <w:spacing w:after="0" w:line="240" w:lineRule="auto"/>
              <w:jc w:val="left"/>
            </w:pPr>
            <w:r>
              <w:rPr>
                <w:b/>
                <w:sz w:val="18"/>
              </w:rPr>
              <w:t>Decorrelation: ρ &lt; 0.5 / first zero</w:t>
            </w:r>
          </w:p>
        </w:tc>
        <w:tc>
          <w:tcPr>
            <w:tcW w:type="dxa" w:w="5669"/>
            <w:vAlign w:val="center"/>
            <w:tcMar>
              <w:top w:w="40" w:type="dxa"/>
              <w:bottom w:w="40" w:type="dxa"/>
              <w:start w:w="90" w:type="dxa"/>
              <w:end w:w="90" w:type="dxa"/>
            </w:tcMar>
          </w:tcPr>
          <w:p>
            <w:pPr>
              <w:keepNext/>
              <w:spacing w:after="0" w:line="240" w:lineRule="auto"/>
              <w:jc w:val="left"/>
            </w:pPr>
            <w:r>
              <w:rPr>
                <w:sz w:val="18"/>
              </w:rPr>
              <w:t>20 / 36 months</w:t>
            </w:r>
          </w:p>
        </w:tc>
      </w:tr>
      <w:tr>
        <w:trPr>
          <w:cantSplit/>
        </w:trPr>
        <w:tc>
          <w:tcPr>
            <w:tcW w:type="dxa" w:w="3969"/>
            <w:vAlign w:val="center"/>
            <w:tcMar>
              <w:top w:w="40" w:type="dxa"/>
              <w:bottom w:w="40" w:type="dxa"/>
              <w:start w:w="90" w:type="dxa"/>
              <w:end w:w="90" w:type="dxa"/>
            </w:tcMar>
            <w:shd w:val="clear" w:color="auto" w:fill="F5F4F0"/>
          </w:tcPr>
          <w:p>
            <w:pPr>
              <w:keepNext/>
              <w:spacing w:after="0" w:line="240" w:lineRule="auto"/>
              <w:jc w:val="left"/>
            </w:pPr>
            <w:r>
              <w:rPr>
                <w:b/>
                <w:sz w:val="18"/>
              </w:rPr>
              <w:t>Period by epoch</w:t>
            </w:r>
          </w:p>
        </w:tc>
        <w:tc>
          <w:tcPr>
            <w:tcW w:type="dxa" w:w="5669"/>
            <w:vAlign w:val="center"/>
            <w:tcMar>
              <w:top w:w="40" w:type="dxa"/>
              <w:bottom w:w="40" w:type="dxa"/>
              <w:start w:w="90" w:type="dxa"/>
              <w:end w:w="90" w:type="dxa"/>
            </w:tcMar>
            <w:shd w:val="clear" w:color="auto" w:fill="F5F4F0"/>
          </w:tcPr>
          <w:p>
            <w:pPr>
              <w:keepNext/>
              <w:spacing w:after="0" w:line="240" w:lineRule="auto"/>
              <w:jc w:val="left"/>
            </w:pPr>
            <w:r>
              <w:rPr>
                <w:sz w:val="18"/>
              </w:rPr>
              <w:t>1749 to 1818: 9.3 y, 1818 to 1887: 11.0 y, 1887 to 1956: 10.7 y, 1956 to 2026: 10.7 y</w:t>
            </w:r>
          </w:p>
        </w:tc>
      </w:tr>
      <w:tr>
        <w:trPr>
          <w:cantSplit/>
        </w:trPr>
        <w:tc>
          <w:tcPr>
            <w:tcW w:type="dxa" w:w="3969"/>
            <w:vAlign w:val="center"/>
            <w:tcMar>
              <w:top w:w="40" w:type="dxa"/>
              <w:bottom w:w="40" w:type="dxa"/>
              <w:start w:w="90" w:type="dxa"/>
              <w:end w:w="90" w:type="dxa"/>
            </w:tcMar>
          </w:tcPr>
          <w:p>
            <w:pPr>
              <w:keepNext/>
              <w:spacing w:after="0" w:line="240" w:lineRule="auto"/>
              <w:jc w:val="left"/>
            </w:pPr>
            <w:r>
              <w:rPr>
                <w:b/>
                <w:sz w:val="18"/>
              </w:rPr>
              <w:t>Whiteness: residual / difference outside band</w:t>
            </w:r>
          </w:p>
        </w:tc>
        <w:tc>
          <w:tcPr>
            <w:tcW w:type="dxa" w:w="5669"/>
            <w:vAlign w:val="center"/>
            <w:tcMar>
              <w:top w:w="40" w:type="dxa"/>
              <w:bottom w:w="40" w:type="dxa"/>
              <w:start w:w="90" w:type="dxa"/>
              <w:end w:w="90" w:type="dxa"/>
            </w:tcMar>
          </w:tcPr>
          <w:p>
            <w:pPr>
              <w:keepNext/>
              <w:spacing w:after="0" w:line="240" w:lineRule="auto"/>
              <w:jc w:val="left"/>
            </w:pPr>
            <w:r>
              <w:rPr>
                <w:sz w:val="18"/>
              </w:rPr>
              <w:t>21 / 11 of 36 lags</w:t>
            </w:r>
          </w:p>
        </w:tc>
      </w:tr>
      <w:tr>
        <w:trPr>
          <w:cantSplit/>
        </w:trPr>
        <w:tc>
          <w:tcPr>
            <w:tcW w:type="dxa" w:w="3969"/>
            <w:vAlign w:val="center"/>
            <w:tcMar>
              <w:top w:w="40" w:type="dxa"/>
              <w:bottom w:w="40" w:type="dxa"/>
              <w:start w:w="90" w:type="dxa"/>
              <w:end w:w="90" w:type="dxa"/>
            </w:tcMar>
            <w:shd w:val="clear" w:color="auto" w:fill="F5F4F0"/>
          </w:tcPr>
          <w:p>
            <w:pPr>
              <w:keepNext/>
              <w:spacing w:after="0" w:line="240" w:lineRule="auto"/>
              <w:jc w:val="left"/>
            </w:pPr>
            <w:r>
              <w:rPr>
                <w:b/>
                <w:sz w:val="18"/>
              </w:rPr>
              <w:t>Lowest SNR with a reliable period</w:t>
            </w:r>
          </w:p>
        </w:tc>
        <w:tc>
          <w:tcPr>
            <w:tcW w:type="dxa" w:w="5669"/>
            <w:vAlign w:val="center"/>
            <w:tcMar>
              <w:top w:w="40" w:type="dxa"/>
              <w:bottom w:w="40" w:type="dxa"/>
              <w:start w:w="90" w:type="dxa"/>
              <w:end w:w="90" w:type="dxa"/>
            </w:tcMar>
            <w:shd w:val="clear" w:color="auto" w:fill="F5F4F0"/>
          </w:tcPr>
          <w:p>
            <w:pPr>
              <w:keepNext/>
              <w:spacing w:after="0" w:line="240" w:lineRule="auto"/>
              <w:jc w:val="left"/>
            </w:pPr>
            <w:r>
              <w:rPr>
                <w:sz w:val="18"/>
              </w:rPr>
              <w:t>-10 dB</w:t>
            </w:r>
          </w:p>
        </w:tc>
      </w:tr>
      <w:tr>
        <w:trPr>
          <w:cantSplit/>
        </w:trPr>
        <w:tc>
          <w:tcPr>
            <w:tcW w:type="dxa" w:w="3969"/>
            <w:vAlign w:val="center"/>
            <w:tcMar>
              <w:top w:w="40" w:type="dxa"/>
              <w:bottom w:w="40" w:type="dxa"/>
              <w:start w:w="90" w:type="dxa"/>
              <w:end w:w="90" w:type="dxa"/>
            </w:tcMar>
          </w:tcPr>
          <w:p>
            <w:pPr>
              <w:spacing w:after="0" w:line="240" w:lineRule="auto"/>
              <w:jc w:val="left"/>
            </w:pPr>
            <w:r>
              <w:rPr>
                <w:b/>
                <w:sz w:val="18"/>
              </w:rPr>
              <w:t>Next maximum, rough (last max + period)</w:t>
            </w:r>
          </w:p>
        </w:tc>
        <w:tc>
          <w:tcPr>
            <w:tcW w:type="dxa" w:w="5669"/>
            <w:vAlign w:val="center"/>
            <w:tcMar>
              <w:top w:w="40" w:type="dxa"/>
              <w:bottom w:w="40" w:type="dxa"/>
              <w:start w:w="90" w:type="dxa"/>
              <w:end w:w="90" w:type="dxa"/>
            </w:tcMar>
          </w:tcPr>
          <w:p>
            <w:pPr>
              <w:spacing w:after="0" w:line="240" w:lineRule="auto"/>
              <w:jc w:val="left"/>
            </w:pPr>
            <w:r>
              <w:rPr>
                <w:sz w:val="18"/>
              </w:rPr>
              <w:t>about 2035</w:t>
            </w:r>
          </w:p>
        </w:tc>
      </w:tr>
    </w:tbl>
    <w:p>
      <w:pPr>
        <w:spacing w:after="40"/>
      </w:pPr>
    </w:p>
    <w:p>
      <w:pPr>
        <w:pStyle w:val="Heading1"/>
      </w:pPr>
      <w:r>
        <w:t>8.  Conclusion</w:t>
      </w:r>
    </w:p>
    <w:p>
      <w:pPr>
        <w:keepNext w:val="0"/>
        <w:jc w:val="both"/>
      </w:pPr>
      <w:r>
        <w:t>Autocorrelation extracted the solar cycle directly from the data: a period of 10.65 years, with decaying repeats that quantify how irregular the Sun is. The theoretical properties (even symmetry, maximum at zero lag equal to the energy, equivalence of the direct, convolution and spectral methods) were confirmed to machine precision. The ACF also served as a diagnostic: the cycle was stable at about 10.7 to 11 years for two centuries, the leftover month-to-month variation is not white noise, and periodicity was still recoverable at an SNR of -10 dB. Combined with the most recent maximum (2024.8), the period suggests the next maximum around 2035, a rough but useful planning horizon for satellite and grid operators; real forecasts refine it with physical models.</w:t>
      </w:r>
    </w:p>
    <w:p>
      <w:pPr>
        <w:pStyle w:val="Heading1"/>
      </w:pPr>
      <w:r>
        <w:t>9.  Learning Outcomes</w:t>
      </w:r>
    </w:p>
    <w:p>
      <w:pPr>
        <w:pStyle w:val="ListBullet"/>
        <w:jc w:val="both"/>
      </w:pPr>
      <w:r>
        <w:t>Compute autocorrelation by definition, by convolution with the folded signal and via the power spectrum.</w:t>
      </w:r>
    </w:p>
    <w:p>
      <w:pPr>
        <w:pStyle w:val="ListBullet"/>
        <w:jc w:val="both"/>
      </w:pPr>
      <w:r>
        <w:t>Verify and use its properties: even symmetry, maximum at zero lag, r[0] = energy.</w:t>
      </w:r>
    </w:p>
    <w:p>
      <w:pPr>
        <w:pStyle w:val="ListBullet"/>
        <w:jc w:val="both"/>
      </w:pPr>
      <w:r>
        <w:t>Detect and measure hidden periodicity, and choose between biased and unbiased estimators.</w:t>
      </w:r>
    </w:p>
    <w:p>
      <w:pPr>
        <w:pStyle w:val="ListBullet"/>
        <w:jc w:val="both"/>
      </w:pPr>
      <w:r>
        <w:t>Test a sequence for whiteness with the ±1.96/√N band and judge the noise robustness of a period estimate.</w:t>
      </w:r>
    </w:p>
    <w:p>
      <w:pPr>
        <w:pStyle w:val="Heading1"/>
      </w:pPr>
      <w:r>
        <w:t>10.  References</w:t>
      </w:r>
    </w:p>
    <w:p>
      <w:pPr>
        <w:keepNext w:val="0"/>
        <w:spacing w:after="20"/>
        <w:jc w:val="left"/>
      </w:pPr>
      <w:r>
        <w:rPr>
          <w:sz w:val="19"/>
        </w:rPr>
        <w:t xml:space="preserve">[1]  J. G. Proakis and D. G. Manolakis, </w:t>
      </w:r>
      <w:r>
        <w:rPr>
          <w:i/>
          <w:sz w:val="19"/>
        </w:rPr>
        <w:t>Digital Signal Processing</w:t>
      </w:r>
      <w:r>
        <w:rPr>
          <w:sz w:val="19"/>
        </w:rPr>
        <w:t>, 4th ed. Pearson, 2007, ch. 2.6.</w:t>
      </w:r>
    </w:p>
    <w:p>
      <w:pPr>
        <w:keepNext w:val="0"/>
        <w:spacing w:after="20"/>
        <w:jc w:val="left"/>
      </w:pPr>
      <w:r>
        <w:rPr>
          <w:sz w:val="19"/>
        </w:rPr>
        <w:t xml:space="preserve">[2]  A. V. Oppenheim and R. W. Schafer, </w:t>
      </w:r>
      <w:r>
        <w:rPr>
          <w:i/>
          <w:sz w:val="19"/>
        </w:rPr>
        <w:t>Discrete-Time Signal Processing</w:t>
      </w:r>
      <w:r>
        <w:rPr>
          <w:sz w:val="19"/>
        </w:rPr>
        <w:t>, 3rd ed. Pearson, 2010, ch. 10.</w:t>
      </w:r>
    </w:p>
    <w:p>
      <w:pPr>
        <w:keepNext w:val="0"/>
        <w:spacing w:after="20"/>
        <w:jc w:val="left"/>
      </w:pPr>
      <w:r>
        <w:rPr>
          <w:sz w:val="19"/>
        </w:rPr>
        <w:t>[3]  SILSO World Data Center, “The International Sunspot Number,” Royal Observatory of Belgium, https://www.sidc.be/SILSO.</w:t>
      </w:r>
    </w:p>
    <w:p>
      <w:pPr>
        <w:keepNext w:val="0"/>
        <w:spacing w:after="20"/>
        <w:jc w:val="left"/>
      </w:pPr>
      <w:r>
        <w:rPr>
          <w:sz w:val="19"/>
        </w:rPr>
        <w:t xml:space="preserve">[4]  F. Clette and L. Lefèvre, “The new sunspot number: assembling all corrections,” </w:t>
      </w:r>
      <w:r>
        <w:rPr>
          <w:i/>
          <w:sz w:val="19"/>
        </w:rPr>
        <w:t>Solar Physics</w:t>
      </w:r>
      <w:r>
        <w:rPr>
          <w:sz w:val="19"/>
        </w:rPr>
        <w:t>, vol. 291, pp. 2629-2651, 2016.</w:t>
      </w:r>
    </w:p>
    <w:p>
      <w:pPr>
        <w:keepNext w:val="0"/>
        <w:spacing w:after="20"/>
        <w:jc w:val="left"/>
      </w:pPr>
      <w:r>
        <w:rPr>
          <w:sz w:val="19"/>
        </w:rPr>
        <w:t xml:space="preserve">[5]  G. E. P. Box, G. M. Jenkins and G. C. Reinsel, </w:t>
      </w:r>
      <w:r>
        <w:rPr>
          <w:i/>
          <w:sz w:val="19"/>
        </w:rPr>
        <w:t>Time Series Analysis</w:t>
      </w:r>
      <w:r>
        <w:rPr>
          <w:sz w:val="19"/>
        </w:rPr>
        <w:t>, 4th ed. Wiley, 2008, ch. 2.</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5  ·  Autocorrelation</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