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 ON THE CONSTITUTIONAL RISK OF THE BILL</w:t>
      </w:r>
    </w:p>
    <w:p>
      <w:r>
        <w:rPr>
          <w:i/>
          <w:color w:val="808080"/>
          <w:sz w:val="18"/>
        </w:rPr>
        <w:t>Office of the Attorney General of the State of Arden — to the Office of the Governor.  Replace every bracketed instruction with your own text. Do not add, remove, rename or reorder the columns of either schedule; add as many rows as you need. Save as output/memorandum.docx.</w:t>
      </w:r>
    </w:p>
    <w:p>
      <w:pPr>
        <w:pStyle w:val="Heading1"/>
      </w:pPr>
      <w:r>
        <w:t>I. Summary of conclusions</w:t>
      </w:r>
    </w:p>
    <w:p>
      <w:r>
        <w:rPr>
          <w:i/>
          <w:color w:val="808080"/>
          <w:sz w:val="20"/>
        </w:rPr>
        <w:t>[State whether you recommend that the bill be signed, returned, or signed subject to amendment, and why. Keep to one page.]</w:t>
      </w:r>
    </w:p>
    <w:p>
      <w:pPr>
        <w:pStyle w:val="Heading1"/>
      </w:pPr>
      <w:r>
        <w:t>II. Exposure-by-exposure analysis</w:t>
      </w:r>
    </w:p>
    <w:p>
      <w:r>
        <w:rPr>
          <w:i/>
          <w:color w:val="808080"/>
          <w:sz w:val="20"/>
        </w:rPr>
        <w:t>[For each exposure: the provision at issue, the factual and computational basis, the legal reasoning, and the severity. Take them in the order of their importance to the decision the Governor has to make.]</w:t>
      </w:r>
    </w:p>
    <w:p>
      <w:pPr>
        <w:pStyle w:val="Heading1"/>
      </w:pPr>
      <w:r>
        <w:t>III. Recommended amendments</w:t>
      </w:r>
    </w:p>
    <w:p>
      <w:r>
        <w:rPr>
          <w:i/>
          <w:color w:val="808080"/>
          <w:sz w:val="20"/>
        </w:rPr>
        <w:t>[Each amendment stated as an operative figure or as draft statutory language.]</w:t>
      </w:r>
    </w:p>
    <w:p>
      <w:pPr>
        <w:pStyle w:val="Heading1"/>
      </w:pPr>
      <w:r>
        <w:t>IV. Open items and further evidence required</w:t>
      </w:r>
    </w:p>
    <w:p>
      <w:r>
        <w:rPr>
          <w:i/>
          <w:color w:val="808080"/>
          <w:sz w:val="20"/>
        </w:rPr>
        <w:t>[Matters you were unable to resolve on the material in the file, and what would resolve them.]</w:t>
      </w:r>
    </w:p>
    <w:p>
      <w:r>
        <w:br w:type="page"/>
      </w:r>
    </w:p>
    <w:p>
      <w:pPr>
        <w:pStyle w:val="Heading1"/>
      </w:pPr>
      <w:r>
        <w:t>Schedule A — Schedule of figures</w:t>
      </w:r>
    </w:p>
    <w:p>
      <w:r>
        <w:rPr>
          <w:i/>
          <w:color w:val="808080"/>
          <w:sz w:val="18"/>
        </w:rPr>
        <w:t>Every figure relied on anywhere in this memorandum must appear here with a recomputable derivation and the provision it bears on. A figure that is not listed is treated as not computed. Monetary amounts in millions of dollars.</w:t>
      </w:r>
    </w:p>
    <w:tbl>
      <w:tblPr>
        <w:tblStyle w:val="TableGrid"/>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Pr>
              <w:t>Item</w:t>
            </w:r>
          </w:p>
        </w:tc>
        <w:tc>
          <w:tcPr>
            <w:tcW w:type="dxa" w:w="1337"/>
          </w:tcPr>
          <w:p>
            <w:r/>
            <w:r>
              <w:rPr>
                <w:b/>
                <w:sz w:val="18"/>
              </w:rPr>
              <w:t>Basis or assumption</w:t>
            </w:r>
          </w:p>
        </w:tc>
        <w:tc>
          <w:tcPr>
            <w:tcW w:type="dxa" w:w="1337"/>
          </w:tcPr>
          <w:p>
            <w:r/>
            <w:r>
              <w:rPr>
                <w:b/>
                <w:sz w:val="18"/>
              </w:rPr>
              <w:t>Value</w:t>
            </w:r>
          </w:p>
        </w:tc>
        <w:tc>
          <w:tcPr>
            <w:tcW w:type="dxa" w:w="1337"/>
          </w:tcPr>
          <w:p>
            <w:r/>
            <w:r>
              <w:rPr>
                <w:b/>
                <w:sz w:val="18"/>
              </w:rPr>
              <w:t>Unit</w:t>
            </w:r>
          </w:p>
        </w:tc>
        <w:tc>
          <w:tcPr>
            <w:tcW w:type="dxa" w:w="1337"/>
          </w:tcPr>
          <w:p>
            <w:r/>
            <w:r>
              <w:rPr>
                <w:b/>
                <w:sz w:val="18"/>
              </w:rPr>
              <w:t>Statutory provision</w:t>
            </w:r>
          </w:p>
        </w:tc>
        <w:tc>
          <w:tcPr>
            <w:tcW w:type="dxa" w:w="1337"/>
          </w:tcPr>
          <w:p>
            <w:r/>
            <w:r>
              <w:rPr>
                <w:b/>
                <w:sz w:val="18"/>
              </w:rPr>
              <w:t>Source material</w:t>
            </w:r>
          </w:p>
        </w:tc>
        <w:tc>
          <w:tcPr>
            <w:tcW w:type="dxa" w:w="1337"/>
          </w:tcPr>
          <w:p>
            <w:r/>
            <w:r>
              <w:rPr>
                <w:b/>
                <w:sz w:val="18"/>
              </w:rPr>
              <w:t>Derivation</w:t>
            </w:r>
          </w:p>
        </w:tc>
      </w:tr>
    </w:tbl>
    <w:p/>
    <w:p>
      <w:pPr>
        <w:pStyle w:val="Heading1"/>
      </w:pPr>
      <w:r>
        <w:t>Schedule B — Exposures and recommendations</w:t>
      </w:r>
    </w:p>
    <w:p>
      <w:r>
        <w:rPr>
          <w:i/>
          <w:color w:val="808080"/>
          <w:sz w:val="18"/>
        </w:rPr>
        <w:t>One row per exposure. 'Figures relied on' must cite rows of Schedule A by their Item text or row number; an exposure with no computational support is disregarded.</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tcPr>
          <w:p>
            <w:r/>
            <w:r>
              <w:rPr>
                <w:b/>
                <w:sz w:val="18"/>
              </w:rPr>
              <w:t>Statutory provision</w:t>
            </w:r>
          </w:p>
        </w:tc>
        <w:tc>
          <w:tcPr>
            <w:tcW w:type="dxa" w:w="1560"/>
          </w:tcPr>
          <w:p>
            <w:r/>
            <w:r>
              <w:rPr>
                <w:b/>
                <w:sz w:val="18"/>
              </w:rPr>
              <w:t>Exposure</w:t>
            </w:r>
          </w:p>
        </w:tc>
        <w:tc>
          <w:tcPr>
            <w:tcW w:type="dxa" w:w="1560"/>
          </w:tcPr>
          <w:p>
            <w:r/>
            <w:r>
              <w:rPr>
                <w:b/>
                <w:sz w:val="18"/>
              </w:rPr>
              <w:t>Doctrinal basis</w:t>
            </w:r>
          </w:p>
        </w:tc>
        <w:tc>
          <w:tcPr>
            <w:tcW w:type="dxa" w:w="1560"/>
          </w:tcPr>
          <w:p>
            <w:r/>
            <w:r>
              <w:rPr>
                <w:b/>
                <w:sz w:val="18"/>
              </w:rPr>
              <w:t>Severity</w:t>
            </w:r>
          </w:p>
        </w:tc>
        <w:tc>
          <w:tcPr>
            <w:tcW w:type="dxa" w:w="1560"/>
          </w:tcPr>
          <w:p>
            <w:r/>
            <w:r>
              <w:rPr>
                <w:b/>
                <w:sz w:val="18"/>
              </w:rPr>
              <w:t>Recommended amendment</w:t>
            </w:r>
          </w:p>
        </w:tc>
        <w:tc>
          <w:tcPr>
            <w:tcW w:type="dxa" w:w="1560"/>
          </w:tcPr>
          <w:p>
            <w:r/>
            <w:r>
              <w:rPr>
                <w:b/>
                <w:sz w:val="18"/>
              </w:rPr>
              <w:t>Figures relied on</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the Attorney General</dc:creator>
  <cp:keywords/>
  <dc:description/>
  <cp:lastModifiedBy/>
  <cp:revision>1</cp:revision>
  <dcterms:created xsi:type="dcterms:W3CDTF">2025-08-26T13:05:00Z</dcterms:created>
  <dcterms:modified xsi:type="dcterms:W3CDTF">2025-08-26T13:05:00Z</dcterms:modified>
  <cp:category/>
</cp:coreProperties>
</file>