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t>Load the dataset (the Iris dataset) using Pandas to analyze the chemical properties of red Iris flower and their type.</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t>Output layer with 3 units with Softmax for classification.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t>Compile the model using the Adam optimizer and Categorical Crossentropy (categorical_crossentropy)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t>Use the trained model to predict the type of Iris flower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t>Read the dataset (e.g., the Iris dataset) into a Pandas Data Frame.</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t>Output layer: Dense layer with 1 unit for classification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t>Compile the model using the Adam optimizer and mean absolute error (categorical_crossentropy)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lastRenderedPageBreak/>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t>In conclusion, the Feedforward Neural Network (FNN) algorithm is a powerful and versatile approach to predictive modeling, especially suited for both classification and classification tasks, such as predicting Iris flower type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74920" w14:textId="77777777" w:rsidR="006D5A4F" w:rsidRDefault="006D5A4F">
      <w:pPr>
        <w:spacing w:after="0" w:line="240" w:lineRule="auto"/>
      </w:pPr>
      <w:r>
        <w:separator/>
      </w:r>
    </w:p>
  </w:endnote>
  <w:endnote w:type="continuationSeparator" w:id="0">
    <w:p w14:paraId="78E29C48" w14:textId="77777777" w:rsidR="006D5A4F" w:rsidRDefault="006D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1DAE8" w14:textId="77777777" w:rsidR="006D5A4F" w:rsidRDefault="006D5A4F">
      <w:pPr>
        <w:spacing w:after="0" w:line="240" w:lineRule="auto"/>
      </w:pPr>
      <w:r>
        <w:separator/>
      </w:r>
    </w:p>
  </w:footnote>
  <w:footnote w:type="continuationSeparator" w:id="0">
    <w:p w14:paraId="32D6452E" w14:textId="77777777" w:rsidR="006D5A4F" w:rsidRDefault="006D5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18</cp:revision>
  <dcterms:created xsi:type="dcterms:W3CDTF">2024-10-13T12:08:00Z</dcterms:created>
  <dcterms:modified xsi:type="dcterms:W3CDTF">2024-10-13T14:03:00Z</dcterms:modified>
</cp:coreProperties>
</file>