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REQUERIMIENTOS DE INFORMACIÓN INICIAL PARA DISEÑO Y DESARROLLO (TAREAS PARA EL CLIENTE):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continuación se indica la información que </w:t>
      </w:r>
      <w:r w:rsidDel="00000000" w:rsidR="00000000" w:rsidRPr="00000000">
        <w:rPr>
          <w:b w:val="1"/>
          <w:rtl w:val="0"/>
        </w:rPr>
        <w:t xml:space="preserve">INMOBILIARIA SANTA FE </w:t>
      </w:r>
      <w:r w:rsidDel="00000000" w:rsidR="00000000" w:rsidRPr="00000000">
        <w:rPr>
          <w:rtl w:val="0"/>
        </w:rPr>
        <w:t xml:space="preserve">Deberá suministrar para dar inicio al diseño y desarrollo, la cual deberá ser entregada con la correspondiente calidad y oportunidad, conforme se especifica en la página # 3 de la oferta aprobada y conforme a la necesidad de información del boceto que seleccione el cliente.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Tabla 2 Solicitud de información y requerimientos para inicio</w:t>
      </w:r>
    </w:p>
    <w:tbl>
      <w:tblPr>
        <w:tblStyle w:val="Table1"/>
        <w:tblW w:w="9030.0" w:type="dxa"/>
        <w:jc w:val="left"/>
        <w:tblInd w:w="100.0" w:type="pct"/>
        <w:tblLayout w:type="fixed"/>
        <w:tblLook w:val="0600"/>
      </w:tblPr>
      <w:tblGrid>
        <w:gridCol w:w="418.4518167456556"/>
        <w:gridCol w:w="7066.129541864139"/>
        <w:gridCol w:w="1545.4186413902053"/>
        <w:tblGridChange w:id="0">
          <w:tblGrid>
            <w:gridCol w:w="418.4518167456556"/>
            <w:gridCol w:w="7066.129541864139"/>
            <w:gridCol w:w="1545.4186413902053"/>
          </w:tblGrid>
        </w:tblGridChange>
      </w:tblGrid>
      <w:tr>
        <w:trPr>
          <w:trHeight w:val="100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70c0" w:space="0" w:sz="4" w:val="single"/>
              <w:left w:color="006fc0" w:space="0" w:sz="4" w:val="single"/>
              <w:bottom w:color="0070c0" w:space="0" w:sz="4" w:val="single"/>
              <w:right w:color="006f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INFORMACIÓN Y REQUERIMIENTO PARA INICIO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LIMITE DE ENTREGA</w:t>
            </w:r>
          </w:p>
        </w:tc>
      </w:tr>
      <w:tr>
        <w:trPr>
          <w:trHeight w:val="78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tcBorders>
              <w:top w:color="0070c0" w:space="0" w:sz="4" w:val="single"/>
              <w:left w:color="006fc0" w:space="0" w:sz="4" w:val="single"/>
              <w:bottom w:color="0070c0" w:space="0" w:sz="4" w:val="single"/>
              <w:right w:color="006f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línea gráfica y aplicación de tipografía (así sea básico, que incluya colores corporativos a utilizar y su composición en RGB / HEX) </w:t>
            </w:r>
          </w:p>
        </w:tc>
        <w:tc>
          <w:tcPr>
            <w:vMerge w:val="restart"/>
            <w:tcBorders>
              <w:top w:color="006fc0" w:space="0" w:sz="4" w:val="single"/>
              <w:left w:color="006ec0" w:space="0" w:sz="4" w:val="single"/>
              <w:bottom w:color="006fc0" w:space="0" w:sz="4" w:val="single"/>
              <w:right w:color="006e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01/10/2019</w:t>
            </w:r>
          </w:p>
        </w:tc>
      </w:tr>
      <w:tr>
        <w:trPr>
          <w:trHeight w:val="1020" w:hRule="atLeast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Logotipo corporativo de la inmobiliaria en alta resolución en formato PNG o JPG (sin fondo, en caso de manejar distintas versiones del logo por favor enviarlas todas).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Imágenes para todas las secciones del sitio web (procurar que sean libres de derechos, en caso dado que no las posean se utilizarán de nuestro banco gratuito no exclusivo).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top w:color="0070c0" w:space="0" w:sz="4" w:val="single"/>
              <w:left w:color="0070bf" w:space="0" w:sz="4" w:val="single"/>
              <w:bottom w:color="0070c0" w:space="0" w:sz="4" w:val="single"/>
              <w:right w:color="0070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tcBorders>
              <w:top w:color="0070c0" w:space="0" w:sz="4" w:val="single"/>
              <w:left w:color="0070bf" w:space="0" w:sz="4" w:val="single"/>
              <w:bottom w:color="0070c0" w:space="0" w:sz="4" w:val="single"/>
              <w:right w:color="0070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Política de protección de datos y tratamientos de información privilegiada para dar cumplimiento a la ley 1581 de 2012 a fin de que pueda ser incorporada en el formulario de contacto. (Debidamente revisada y en formato PDF, en membrete de la empresa).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servicios con su descripción respectiva, tal cual como desean que se visualice en el sitio web.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</w:p>
        </w:tc>
        <w:tc>
          <w:tcPr>
            <w:tcBorders>
              <w:top w:color="0070c0" w:space="0" w:sz="4" w:val="single"/>
              <w:left w:color="006fc0" w:space="0" w:sz="4" w:val="single"/>
              <w:bottom w:color="0070c0" w:space="0" w:sz="4" w:val="single"/>
              <w:right w:color="006f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Logotipo de aliados (empresas y/o aseguradoras con las que trabajan o posean alianzas, sin fondo, en alta resolución)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g.</w:t>
            </w:r>
          </w:p>
        </w:tc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contacto (horarios de atención, sedes si manejan, dirección detallada, números de teléfonos y correos electrónicos)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h.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E-mail para el envío de Formulario de contacto.</w:t>
            </w:r>
          </w:p>
        </w:tc>
        <w:tc>
          <w:tcPr>
            <w:vMerge w:val="continue"/>
            <w:tcBorders>
              <w:bottom w:color="006fc0" w:space="0" w:sz="4" w:val="single"/>
              <w:right w:color="006ec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i.</w:t>
            </w:r>
          </w:p>
        </w:tc>
        <w:tc>
          <w:tcPr>
            <w:tcBorders>
              <w:top w:color="0070c0" w:space="0" w:sz="4" w:val="single"/>
              <w:left w:color="006fbf" w:space="0" w:sz="4" w:val="single"/>
              <w:bottom w:color="0070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 de Pagos PSE (URL para realizar integración con el sitio web una vez se cuente con la aprobación final de la entidad bancaria)</w:t>
            </w:r>
          </w:p>
        </w:tc>
        <w:tc>
          <w:tcPr>
            <w:tcBorders>
              <w:top w:color="006fc0" w:space="0" w:sz="4" w:val="single"/>
              <w:left w:color="006fbf" w:space="0" w:sz="4" w:val="single"/>
              <w:bottom w:color="006fc0" w:space="0" w:sz="4" w:val="single"/>
              <w:right w:color="006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Botón PSE depende de agilidad con entidad bancaria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Fuente: Champagne &amp; Limousines, Bold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Colores: En la imagen se puede evidenciar los tonos de los colores que se usó, recordando que los colores a usar son el azul y el rojo.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1813" cy="2428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23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Logotipo corporativo de la inmobiliaria Santafe DC en alta resolución en formato PNG.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111451</wp:posOffset>
            </wp:positionH>
            <wp:positionV relativeFrom="paragraph">
              <wp:posOffset>114300</wp:posOffset>
            </wp:positionV>
            <wp:extent cx="5734050" cy="44323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Imágenes de Bogotá, que ofrecen SIMI.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 PROTECCIÓN DE DATOS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QUIENES SOMOS?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Fundada en 2008 con la misión de ser una Inmobiliaria reconocida por ofrecer un eficiente servicio, ayudando a nuestros clientes a maximizar la rentabilidad de su inversión y minimizar el riesgo, brindando soluciones integrales y éticas basadas en la experiencia de nuestra trayectoria en el mercado. De esta forma, garantizamos la tranquilidad de nuestros clientes al momento de adquirir nuestros servicios.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 Arrendamiento: 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 Inmobiliaria Santafe DC brindamos asesoría especializada para garantizar el arriendo y la administración de sus inmuebles.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Promocionamos sus inmuebles a través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los portales más reconocidos del sector inmobiliario, además, </w:t>
      </w:r>
      <w:r w:rsidDel="00000000" w:rsidR="00000000" w:rsidRPr="00000000">
        <w:rPr>
          <w:rtl w:val="0"/>
        </w:rPr>
        <w:t xml:space="preserve">contamos con los siguientes seguros especializados: Amparo básico, </w:t>
      </w:r>
      <w:r w:rsidDel="00000000" w:rsidR="00000000" w:rsidRPr="00000000">
        <w:rPr>
          <w:highlight w:val="white"/>
          <w:rtl w:val="0"/>
        </w:rPr>
        <w:t xml:space="preserve">amparo Integral, </w:t>
      </w:r>
      <w:r w:rsidDel="00000000" w:rsidR="00000000" w:rsidRPr="00000000">
        <w:rPr>
          <w:rtl w:val="0"/>
        </w:rPr>
        <w:t xml:space="preserve">amparo</w:t>
      </w:r>
      <w:r w:rsidDel="00000000" w:rsidR="00000000" w:rsidRPr="00000000">
        <w:rPr>
          <w:rtl w:val="0"/>
        </w:rPr>
        <w:t xml:space="preserve"> de servicios y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amparo locativo.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Corretaje: 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equipo de Inmobiliaria Santafe DC está a la vanguardia de buscar y encontrar clientes para todos los servicios que ofrecemos. Con el debido seguimiento, conseguimos el cliente ideal para sus inmuebles, lo apoyamos en temas legales, con la entrega e inventario del inmueble, y por último se le brinda la asesoría adecuada para la adquisición de seguros del inmueble.    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Ventas: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 Inmobiliaria Santafe DC contamos con un equipo de profesionales para el desarrollo de la comercialización de sus inmuebles, brindando asesoría en el precio así como en asuntos legales a vendedores y compradores logrando la satisfacción de nuestros clientes. Promocionamos sus inmuebles a través de los portales más reconocidos del sector inmobiliario.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Avalúos: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Contamos con avaluadores profesionales certificados capaces de ofrecer  informes técnicos calificados, soportados en estudios de mercado sobre el sector de ubicación del inmueble, de acuerdo a los estándares que proporciona la Lonja de Propiedad Raíz de Bogotá.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Asistencias Locativas: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Comprometidos con la misión de prestar un excelente servicio y conscientes del deterioro que sufren los inmuebles con el paso del tiempo, en Inmobiliaria Santafé DC contamos con personas calificadas capaces de ofrecer soluciones eficaces.  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Seguros: 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Contamos con un área especializada en el ramo de seguros, atendida por personas certificadas para ofrecer asesoría en la comercialización de toda tipo de seguros.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Ofrecemos seguros en los segmentos de vida, automóviles, incendio y terremoto, hogar, pyme, responsabilidad civil, cumplimiento y soat.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Aseguradora Solidaria de Colombia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Afianzadora Nacional (AFIANSA S.A)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Banco Caja Social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El Libertador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Liberty Seguros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Protecsa 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Seguros del Estado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Simi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Dirección: Carrera 29 # 40A - 57 segundo piso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Teléfono: (031) 6306011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Celular (315) 3458848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comercial@inmobiliariasantafedc.com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1"/>
          <w:szCs w:val="21"/>
          <w:rtl w:val="0"/>
        </w:rPr>
        <w:t xml:space="preserve">Lunes - Viernes: 8:00 AM a 5:30 PM.</w:t>
        <w:br w:type="textWrapping"/>
        <w:t xml:space="preserve">- Sábados: 8:00 AM a 1 PM.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contacto@inmobiliariasantafedc.com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PSE proporcionado por SIMI. 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comercial@inmobiliariasantafed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