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A3A" w:rsidRDefault="00282A3A" w:rsidP="00282A3A">
      <w:pPr>
        <w:jc w:val="center"/>
      </w:pPr>
      <w:r>
        <w:t>General Settings Quick Reference Guide</w:t>
      </w:r>
    </w:p>
    <w:p w:rsidR="00282A3A" w:rsidRDefault="00282A3A"/>
    <w:p w:rsidR="00FB0125" w:rsidRDefault="00311C6A">
      <w:r>
        <w:t>The table below details the general setting items and their current value within the Splunk Enterprise Security application as it is configure in the QA-Lab.  To access these settings, log onto the Splunk Enterprise Security application and:</w:t>
      </w:r>
    </w:p>
    <w:p w:rsidR="00311C6A" w:rsidRDefault="00311C6A" w:rsidP="00311C6A">
      <w:pPr>
        <w:pStyle w:val="ListParagraph"/>
        <w:numPr>
          <w:ilvl w:val="0"/>
          <w:numId w:val="1"/>
        </w:numPr>
      </w:pPr>
      <w:r w:rsidRPr="00311C6A">
        <w:rPr>
          <w:b/>
        </w:rPr>
        <w:t>Single click</w:t>
      </w:r>
      <w:r>
        <w:t xml:space="preserve"> on the </w:t>
      </w:r>
      <w:r w:rsidRPr="00311C6A">
        <w:rPr>
          <w:b/>
          <w:i/>
        </w:rPr>
        <w:t>Configure</w:t>
      </w:r>
      <w:r>
        <w:t xml:space="preserve"> menu option</w:t>
      </w:r>
    </w:p>
    <w:p w:rsidR="00311C6A" w:rsidRDefault="00311C6A" w:rsidP="00311C6A">
      <w:pPr>
        <w:pStyle w:val="ListParagraph"/>
        <w:numPr>
          <w:ilvl w:val="0"/>
          <w:numId w:val="1"/>
        </w:numPr>
      </w:pPr>
      <w:r w:rsidRPr="00311C6A">
        <w:rPr>
          <w:b/>
        </w:rPr>
        <w:t>Single click</w:t>
      </w:r>
      <w:r>
        <w:t xml:space="preserve"> on the </w:t>
      </w:r>
      <w:r w:rsidRPr="00311C6A">
        <w:rPr>
          <w:b/>
          <w:i/>
        </w:rPr>
        <w:t>General</w:t>
      </w:r>
      <w:r>
        <w:t xml:space="preserve"> menu option</w:t>
      </w:r>
    </w:p>
    <w:p w:rsidR="00311C6A" w:rsidRDefault="00311C6A" w:rsidP="00311C6A">
      <w:pPr>
        <w:pStyle w:val="ListParagraph"/>
        <w:numPr>
          <w:ilvl w:val="0"/>
          <w:numId w:val="1"/>
        </w:numPr>
      </w:pPr>
      <w:r w:rsidRPr="00311C6A">
        <w:rPr>
          <w:b/>
        </w:rPr>
        <w:t>Single click</w:t>
      </w:r>
      <w:r>
        <w:t xml:space="preserve"> on the </w:t>
      </w:r>
      <w:r w:rsidRPr="00311C6A">
        <w:rPr>
          <w:b/>
          <w:i/>
        </w:rPr>
        <w:t>General</w:t>
      </w:r>
      <w:r>
        <w:t xml:space="preserve"> Settings option.</w:t>
      </w:r>
    </w:p>
    <w:p w:rsidR="00311C6A" w:rsidRDefault="00311C6A" w:rsidP="00311C6A">
      <w:pPr>
        <w:jc w:val="center"/>
      </w:pPr>
    </w:p>
    <w:p w:rsidR="00311C6A" w:rsidRDefault="00311C6A" w:rsidP="00311C6A">
      <w:pPr>
        <w:jc w:val="center"/>
      </w:pPr>
      <w:r>
        <w:t>General Settings Table</w:t>
      </w:r>
    </w:p>
    <w:p w:rsidR="00311C6A" w:rsidRDefault="00311C6A" w:rsidP="00311C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4860"/>
        <w:gridCol w:w="2425"/>
      </w:tblGrid>
      <w:tr w:rsidR="00311C6A" w:rsidTr="00026728">
        <w:trPr>
          <w:tblHeader/>
        </w:trPr>
        <w:tc>
          <w:tcPr>
            <w:tcW w:w="2065" w:type="dxa"/>
          </w:tcPr>
          <w:p w:rsidR="00311C6A" w:rsidRDefault="00311C6A" w:rsidP="00311C6A">
            <w:r>
              <w:t>Setting</w:t>
            </w:r>
          </w:p>
        </w:tc>
        <w:tc>
          <w:tcPr>
            <w:tcW w:w="4860" w:type="dxa"/>
          </w:tcPr>
          <w:p w:rsidR="00311C6A" w:rsidRDefault="00311C6A" w:rsidP="00311C6A">
            <w:r>
              <w:t>Description</w:t>
            </w:r>
          </w:p>
        </w:tc>
        <w:tc>
          <w:tcPr>
            <w:tcW w:w="2425" w:type="dxa"/>
          </w:tcPr>
          <w:p w:rsidR="00311C6A" w:rsidRDefault="00311C6A" w:rsidP="00311C6A">
            <w:r>
              <w:t>Current Configuration</w:t>
            </w:r>
          </w:p>
        </w:tc>
      </w:tr>
      <w:tr w:rsidR="00311C6A" w:rsidTr="00026728">
        <w:tc>
          <w:tcPr>
            <w:tcW w:w="2065" w:type="dxa"/>
          </w:tcPr>
          <w:p w:rsidR="00311C6A" w:rsidRDefault="00311C6A" w:rsidP="00311C6A">
            <w:r>
              <w:t>Auto Pause</w:t>
            </w:r>
          </w:p>
        </w:tc>
        <w:tc>
          <w:tcPr>
            <w:tcW w:w="4860" w:type="dxa"/>
          </w:tcPr>
          <w:p w:rsidR="00311C6A" w:rsidRDefault="00311C6A" w:rsidP="00311C6A">
            <w:r>
              <w:t>Set the time in seconds before a drilldown search will pause</w:t>
            </w:r>
            <w:r w:rsidR="00026728">
              <w:t>.</w:t>
            </w:r>
          </w:p>
        </w:tc>
        <w:tc>
          <w:tcPr>
            <w:tcW w:w="2425" w:type="dxa"/>
          </w:tcPr>
          <w:p w:rsidR="00311C6A" w:rsidRDefault="00026728" w:rsidP="00311C6A">
            <w:r>
              <w:t>120 seconds</w:t>
            </w:r>
          </w:p>
        </w:tc>
      </w:tr>
      <w:tr w:rsidR="00311C6A" w:rsidTr="00026728">
        <w:tc>
          <w:tcPr>
            <w:tcW w:w="2065" w:type="dxa"/>
          </w:tcPr>
          <w:p w:rsidR="00311C6A" w:rsidRDefault="00026728" w:rsidP="00311C6A">
            <w:r>
              <w:t>Domain Analysis</w:t>
            </w:r>
          </w:p>
        </w:tc>
        <w:tc>
          <w:tcPr>
            <w:tcW w:w="4860" w:type="dxa"/>
          </w:tcPr>
          <w:p w:rsidR="00311C6A" w:rsidRDefault="00026728" w:rsidP="00311C6A">
            <w:r>
              <w:t>Enable or disable WHOIS tracking for Web domains.</w:t>
            </w:r>
          </w:p>
        </w:tc>
        <w:tc>
          <w:tcPr>
            <w:tcW w:w="2425" w:type="dxa"/>
          </w:tcPr>
          <w:p w:rsidR="00311C6A" w:rsidRDefault="00026728" w:rsidP="00311C6A">
            <w:r>
              <w:t>NOOP</w:t>
            </w:r>
          </w:p>
        </w:tc>
      </w:tr>
      <w:tr w:rsidR="00311C6A" w:rsidTr="00026728">
        <w:tc>
          <w:tcPr>
            <w:tcW w:w="2065" w:type="dxa"/>
          </w:tcPr>
          <w:p w:rsidR="00311C6A" w:rsidRDefault="00026728" w:rsidP="00311C6A">
            <w:r>
              <w:t>HTTP Category Analysis Sparkline Earliest</w:t>
            </w:r>
          </w:p>
        </w:tc>
        <w:tc>
          <w:tcPr>
            <w:tcW w:w="4860" w:type="dxa"/>
          </w:tcPr>
          <w:p w:rsidR="00311C6A" w:rsidRDefault="00026728" w:rsidP="00311C6A">
            <w:r>
              <w:t xml:space="preserve">Set the start time for sparklines displayed on the </w:t>
            </w:r>
            <w:r w:rsidRPr="00026728">
              <w:rPr>
                <w:b/>
              </w:rPr>
              <w:t>HTTP User Category Analysis</w:t>
            </w:r>
            <w:r>
              <w:t xml:space="preserve"> dashboard</w:t>
            </w:r>
          </w:p>
        </w:tc>
        <w:tc>
          <w:tcPr>
            <w:tcW w:w="2425" w:type="dxa"/>
          </w:tcPr>
          <w:p w:rsidR="00311C6A" w:rsidRDefault="00026728" w:rsidP="00311C6A">
            <w:r>
              <w:t>-24h@h</w:t>
            </w:r>
          </w:p>
        </w:tc>
      </w:tr>
      <w:tr w:rsidR="00311C6A" w:rsidTr="00026728">
        <w:tc>
          <w:tcPr>
            <w:tcW w:w="2065" w:type="dxa"/>
          </w:tcPr>
          <w:p w:rsidR="00311C6A" w:rsidRDefault="006C3B81" w:rsidP="00311C6A">
            <w:r>
              <w:t>HTTP Category Analysis Sparkline Span</w:t>
            </w:r>
          </w:p>
        </w:tc>
        <w:tc>
          <w:tcPr>
            <w:tcW w:w="4860" w:type="dxa"/>
          </w:tcPr>
          <w:p w:rsidR="00311C6A" w:rsidRDefault="006C3B81" w:rsidP="00311C6A">
            <w:r>
              <w:t xml:space="preserve">Set the time span for sparklines displayed on the </w:t>
            </w:r>
            <w:r w:rsidRPr="006C3B81">
              <w:rPr>
                <w:b/>
              </w:rPr>
              <w:t>HTTP User Category Analysis</w:t>
            </w:r>
            <w:r>
              <w:t xml:space="preserve"> dashboard.</w:t>
            </w:r>
          </w:p>
        </w:tc>
        <w:tc>
          <w:tcPr>
            <w:tcW w:w="2425" w:type="dxa"/>
          </w:tcPr>
          <w:p w:rsidR="00311C6A" w:rsidRDefault="006C3B81" w:rsidP="00311C6A">
            <w:r>
              <w:t>1</w:t>
            </w:r>
          </w:p>
        </w:tc>
      </w:tr>
      <w:tr w:rsidR="00311C6A" w:rsidTr="00026728">
        <w:tc>
          <w:tcPr>
            <w:tcW w:w="2065" w:type="dxa"/>
          </w:tcPr>
          <w:p w:rsidR="00311C6A" w:rsidRDefault="00DB0151" w:rsidP="00311C6A">
            <w:r>
              <w:t>HTTP User Agent Analysis Sparkline Earliest</w:t>
            </w:r>
          </w:p>
        </w:tc>
        <w:tc>
          <w:tcPr>
            <w:tcW w:w="4860" w:type="dxa"/>
          </w:tcPr>
          <w:p w:rsidR="00311C6A" w:rsidRDefault="00DB0151" w:rsidP="00311C6A">
            <w:r>
              <w:t xml:space="preserve">Set the start time for sparklines displayed on the </w:t>
            </w:r>
            <w:r w:rsidRPr="00DB0151">
              <w:rPr>
                <w:b/>
              </w:rPr>
              <w:t>HTTP User Agent Analysis</w:t>
            </w:r>
            <w:r>
              <w:t xml:space="preserve"> dashboard.</w:t>
            </w:r>
          </w:p>
        </w:tc>
        <w:tc>
          <w:tcPr>
            <w:tcW w:w="2425" w:type="dxa"/>
          </w:tcPr>
          <w:p w:rsidR="00311C6A" w:rsidRDefault="00DB0151" w:rsidP="00311C6A">
            <w:r>
              <w:t>-24h@h</w:t>
            </w:r>
          </w:p>
        </w:tc>
      </w:tr>
      <w:tr w:rsidR="00311C6A" w:rsidTr="00026728">
        <w:tc>
          <w:tcPr>
            <w:tcW w:w="2065" w:type="dxa"/>
          </w:tcPr>
          <w:p w:rsidR="00311C6A" w:rsidRDefault="00DB0151" w:rsidP="00311C6A">
            <w:r>
              <w:t>HTTP User Agent Analysis Sparkline Span</w:t>
            </w:r>
          </w:p>
        </w:tc>
        <w:tc>
          <w:tcPr>
            <w:tcW w:w="4860" w:type="dxa"/>
          </w:tcPr>
          <w:p w:rsidR="00311C6A" w:rsidRDefault="00DB0151" w:rsidP="00311C6A">
            <w:r>
              <w:t xml:space="preserve">Set the time span for sparklines displayed on the </w:t>
            </w:r>
            <w:r w:rsidRPr="00DB0151">
              <w:rPr>
                <w:b/>
              </w:rPr>
              <w:t>HTTP User Agent Analysis</w:t>
            </w:r>
            <w:r>
              <w:t xml:space="preserve"> dashboard.</w:t>
            </w:r>
          </w:p>
        </w:tc>
        <w:tc>
          <w:tcPr>
            <w:tcW w:w="2425" w:type="dxa"/>
          </w:tcPr>
          <w:p w:rsidR="00311C6A" w:rsidRDefault="00DB0151" w:rsidP="00311C6A">
            <w:r>
              <w:t>1</w:t>
            </w:r>
          </w:p>
        </w:tc>
      </w:tr>
      <w:tr w:rsidR="00311C6A" w:rsidTr="00026728">
        <w:tc>
          <w:tcPr>
            <w:tcW w:w="2065" w:type="dxa"/>
          </w:tcPr>
          <w:p w:rsidR="00311C6A" w:rsidRDefault="001E356C" w:rsidP="00311C6A">
            <w:r>
              <w:t>IRT Disk Sync Delay</w:t>
            </w:r>
          </w:p>
        </w:tc>
        <w:tc>
          <w:tcPr>
            <w:tcW w:w="4860" w:type="dxa"/>
          </w:tcPr>
          <w:p w:rsidR="00311C6A" w:rsidRDefault="001E356C" w:rsidP="00311C6A">
            <w:r>
              <w:t>Set the number of seconds for Splunk ES to wait for a disk flush to finish.</w:t>
            </w:r>
          </w:p>
        </w:tc>
        <w:tc>
          <w:tcPr>
            <w:tcW w:w="2425" w:type="dxa"/>
          </w:tcPr>
          <w:p w:rsidR="00311C6A" w:rsidRDefault="001E356C" w:rsidP="00311C6A">
            <w:r>
              <w:t>60 seconds</w:t>
            </w:r>
          </w:p>
        </w:tc>
      </w:tr>
      <w:tr w:rsidR="001E356C" w:rsidTr="00026728">
        <w:tc>
          <w:tcPr>
            <w:tcW w:w="2065" w:type="dxa"/>
          </w:tcPr>
          <w:p w:rsidR="001E356C" w:rsidRDefault="001E356C" w:rsidP="00311C6A">
            <w:r>
              <w:t>Incident Review Analyst Capacity</w:t>
            </w:r>
          </w:p>
        </w:tc>
        <w:tc>
          <w:tcPr>
            <w:tcW w:w="4860" w:type="dxa"/>
          </w:tcPr>
          <w:p w:rsidR="001E356C" w:rsidRDefault="001E356C" w:rsidP="00311C6A">
            <w:r>
              <w:t>Set the maximum number of notable events that can be assigned to an analyst.</w:t>
            </w:r>
          </w:p>
        </w:tc>
        <w:tc>
          <w:tcPr>
            <w:tcW w:w="2425" w:type="dxa"/>
          </w:tcPr>
          <w:p w:rsidR="001E356C" w:rsidRDefault="001E356C" w:rsidP="00311C6A">
            <w:r>
              <w:t>12</w:t>
            </w:r>
          </w:p>
        </w:tc>
      </w:tr>
      <w:tr w:rsidR="001E356C" w:rsidTr="00026728">
        <w:tc>
          <w:tcPr>
            <w:tcW w:w="2065" w:type="dxa"/>
          </w:tcPr>
          <w:p w:rsidR="001E356C" w:rsidRDefault="001E356C" w:rsidP="00311C6A">
            <w:r>
              <w:t>Indexed Realtime</w:t>
            </w:r>
          </w:p>
        </w:tc>
        <w:tc>
          <w:tcPr>
            <w:tcW w:w="4860" w:type="dxa"/>
          </w:tcPr>
          <w:p w:rsidR="001E356C" w:rsidRDefault="001E356C" w:rsidP="00311C6A">
            <w:r>
              <w:t>Enable or disable Indexed Realtime.</w:t>
            </w:r>
          </w:p>
        </w:tc>
        <w:tc>
          <w:tcPr>
            <w:tcW w:w="2425" w:type="dxa"/>
          </w:tcPr>
          <w:p w:rsidR="001E356C" w:rsidRDefault="001E356C" w:rsidP="00311C6A">
            <w:r>
              <w:t>Enabled</w:t>
            </w:r>
          </w:p>
        </w:tc>
      </w:tr>
      <w:tr w:rsidR="001E356C" w:rsidTr="00026728">
        <w:tc>
          <w:tcPr>
            <w:tcW w:w="2065" w:type="dxa"/>
          </w:tcPr>
          <w:p w:rsidR="001E356C" w:rsidRDefault="001E356C" w:rsidP="00311C6A">
            <w:r>
              <w:t>Large Email Threshold</w:t>
            </w:r>
          </w:p>
        </w:tc>
        <w:tc>
          <w:tcPr>
            <w:tcW w:w="4860" w:type="dxa"/>
          </w:tcPr>
          <w:p w:rsidR="001E356C" w:rsidRDefault="001E356C" w:rsidP="00311C6A">
            <w:r>
              <w:t>An email that exceeds this size in bytes is considered large.</w:t>
            </w:r>
          </w:p>
        </w:tc>
        <w:tc>
          <w:tcPr>
            <w:tcW w:w="2425" w:type="dxa"/>
          </w:tcPr>
          <w:p w:rsidR="001E356C" w:rsidRDefault="001E356C" w:rsidP="00311C6A">
            <w:r>
              <w:t>2097152 bytes</w:t>
            </w:r>
          </w:p>
        </w:tc>
      </w:tr>
      <w:tr w:rsidR="001E356C" w:rsidTr="00026728">
        <w:tc>
          <w:tcPr>
            <w:tcW w:w="2065" w:type="dxa"/>
          </w:tcPr>
          <w:p w:rsidR="001E356C" w:rsidRDefault="001E356C" w:rsidP="00311C6A">
            <w:r>
              <w:t>Licensing Event Count Filter</w:t>
            </w:r>
          </w:p>
        </w:tc>
        <w:tc>
          <w:tcPr>
            <w:tcW w:w="4860" w:type="dxa"/>
          </w:tcPr>
          <w:p w:rsidR="001E356C" w:rsidRDefault="001E356C" w:rsidP="00311C6A">
            <w:r>
              <w:t>Define the list of indexes to exclude from the “Events Per Day” summarization.</w:t>
            </w:r>
          </w:p>
        </w:tc>
        <w:tc>
          <w:tcPr>
            <w:tcW w:w="2425" w:type="dxa"/>
          </w:tcPr>
          <w:p w:rsidR="001E356C" w:rsidRDefault="001E356C" w:rsidP="001E356C">
            <w:r>
              <w:t>(index!=notable index!=risk index!= *summary*)</w:t>
            </w:r>
          </w:p>
        </w:tc>
      </w:tr>
      <w:tr w:rsidR="001E356C" w:rsidTr="00026728">
        <w:tc>
          <w:tcPr>
            <w:tcW w:w="2065" w:type="dxa"/>
          </w:tcPr>
          <w:p w:rsidR="001E356C" w:rsidRDefault="003A62B3" w:rsidP="00311C6A">
            <w:r>
              <w:t>New Domain Analysis Sparkline Span</w:t>
            </w:r>
          </w:p>
        </w:tc>
        <w:tc>
          <w:tcPr>
            <w:tcW w:w="4860" w:type="dxa"/>
          </w:tcPr>
          <w:p w:rsidR="001E356C" w:rsidRDefault="003A62B3" w:rsidP="00311C6A">
            <w:r>
              <w:t xml:space="preserve">Set the time span for sparklines displayed in the </w:t>
            </w:r>
            <w:r w:rsidRPr="003A62B3">
              <w:rPr>
                <w:b/>
              </w:rPr>
              <w:t>New Domain Analysis</w:t>
            </w:r>
            <w:r>
              <w:t xml:space="preserve"> dashboard.</w:t>
            </w:r>
          </w:p>
        </w:tc>
        <w:tc>
          <w:tcPr>
            <w:tcW w:w="2425" w:type="dxa"/>
          </w:tcPr>
          <w:p w:rsidR="001E356C" w:rsidRDefault="003A62B3" w:rsidP="001E356C">
            <w:r>
              <w:t>1</w:t>
            </w:r>
          </w:p>
        </w:tc>
      </w:tr>
      <w:tr w:rsidR="003A62B3" w:rsidTr="00026728">
        <w:tc>
          <w:tcPr>
            <w:tcW w:w="2065" w:type="dxa"/>
          </w:tcPr>
          <w:p w:rsidR="003A62B3" w:rsidRDefault="003A62B3" w:rsidP="00311C6A">
            <w:r>
              <w:lastRenderedPageBreak/>
              <w:t>Search Disk Quota (admin)</w:t>
            </w:r>
          </w:p>
        </w:tc>
        <w:tc>
          <w:tcPr>
            <w:tcW w:w="4860" w:type="dxa"/>
          </w:tcPr>
          <w:p w:rsidR="003A62B3" w:rsidRDefault="003A62B3" w:rsidP="00311C6A">
            <w:r>
              <w:t>Set the maximum amount of disk space in MB that an admin user can use to store search job results.</w:t>
            </w:r>
          </w:p>
        </w:tc>
        <w:tc>
          <w:tcPr>
            <w:tcW w:w="2425" w:type="dxa"/>
          </w:tcPr>
          <w:p w:rsidR="003A62B3" w:rsidRDefault="003A62B3" w:rsidP="001E356C">
            <w:r>
              <w:t>25000MB</w:t>
            </w:r>
          </w:p>
        </w:tc>
      </w:tr>
      <w:tr w:rsidR="003A62B3" w:rsidTr="00026728">
        <w:tc>
          <w:tcPr>
            <w:tcW w:w="2065" w:type="dxa"/>
          </w:tcPr>
          <w:p w:rsidR="003A62B3" w:rsidRDefault="003A62B3" w:rsidP="00311C6A">
            <w:r>
              <w:t>Search Jobs Quota (admin)</w:t>
            </w:r>
          </w:p>
        </w:tc>
        <w:tc>
          <w:tcPr>
            <w:tcW w:w="4860" w:type="dxa"/>
          </w:tcPr>
          <w:p w:rsidR="003A62B3" w:rsidRDefault="003A62B3" w:rsidP="00311C6A">
            <w:r>
              <w:t>Set the maximum number of concurrent searches allowed for admin users.</w:t>
            </w:r>
          </w:p>
        </w:tc>
        <w:tc>
          <w:tcPr>
            <w:tcW w:w="2425" w:type="dxa"/>
          </w:tcPr>
          <w:p w:rsidR="003A62B3" w:rsidRDefault="003A62B3" w:rsidP="001E356C">
            <w:r>
              <w:t>50</w:t>
            </w:r>
          </w:p>
        </w:tc>
      </w:tr>
      <w:tr w:rsidR="003A62B3" w:rsidTr="00026728">
        <w:tc>
          <w:tcPr>
            <w:tcW w:w="2065" w:type="dxa"/>
          </w:tcPr>
          <w:p w:rsidR="003A62B3" w:rsidRDefault="005C1A8D" w:rsidP="00311C6A">
            <w:r>
              <w:t>Search Jobs Quota (power)</w:t>
            </w:r>
          </w:p>
        </w:tc>
        <w:tc>
          <w:tcPr>
            <w:tcW w:w="4860" w:type="dxa"/>
          </w:tcPr>
          <w:p w:rsidR="003A62B3" w:rsidRDefault="005C1A8D" w:rsidP="00311C6A">
            <w:r>
              <w:t>Set the maximum number of concurrent searches for power users.</w:t>
            </w:r>
          </w:p>
        </w:tc>
        <w:tc>
          <w:tcPr>
            <w:tcW w:w="2425" w:type="dxa"/>
          </w:tcPr>
          <w:p w:rsidR="003A62B3" w:rsidRDefault="005C1A8D" w:rsidP="001E356C">
            <w:r>
              <w:t>10</w:t>
            </w:r>
          </w:p>
        </w:tc>
      </w:tr>
      <w:tr w:rsidR="005C1A8D" w:rsidTr="00026728">
        <w:tc>
          <w:tcPr>
            <w:tcW w:w="2065" w:type="dxa"/>
          </w:tcPr>
          <w:p w:rsidR="005C1A8D" w:rsidRDefault="005C1A8D" w:rsidP="00311C6A">
            <w:r>
              <w:t>Short Lived Account Length</w:t>
            </w:r>
          </w:p>
        </w:tc>
        <w:tc>
          <w:tcPr>
            <w:tcW w:w="4860" w:type="dxa"/>
          </w:tcPr>
          <w:p w:rsidR="005C1A8D" w:rsidRDefault="005C1A8D" w:rsidP="00311C6A">
            <w:r>
              <w:t>An account creation and deletion record that exceeds this threshold is anomalous.</w:t>
            </w:r>
          </w:p>
        </w:tc>
        <w:tc>
          <w:tcPr>
            <w:tcW w:w="2425" w:type="dxa"/>
          </w:tcPr>
          <w:p w:rsidR="005C1A8D" w:rsidRDefault="005C1A8D" w:rsidP="001E356C">
            <w:r>
              <w:t>3600</w:t>
            </w:r>
          </w:p>
        </w:tc>
      </w:tr>
      <w:tr w:rsidR="005C1A8D" w:rsidTr="00026728">
        <w:tc>
          <w:tcPr>
            <w:tcW w:w="2065" w:type="dxa"/>
          </w:tcPr>
          <w:p w:rsidR="005C1A8D" w:rsidRDefault="005C1A8D" w:rsidP="00311C6A">
            <w:r>
              <w:t>TSTATS Allow Old Summaries</w:t>
            </w:r>
          </w:p>
        </w:tc>
        <w:tc>
          <w:tcPr>
            <w:tcW w:w="4860" w:type="dxa"/>
          </w:tcPr>
          <w:p w:rsidR="005C1A8D" w:rsidRDefault="005C1A8D" w:rsidP="00311C6A">
            <w:r>
              <w:t>Enable or disable searching of data model accelerations containing fields that do not match the current data model configuration.</w:t>
            </w:r>
          </w:p>
        </w:tc>
        <w:tc>
          <w:tcPr>
            <w:tcW w:w="2425" w:type="dxa"/>
          </w:tcPr>
          <w:p w:rsidR="005C1A8D" w:rsidRDefault="005C1A8D" w:rsidP="001E356C">
            <w:r>
              <w:t>Enabled</w:t>
            </w:r>
          </w:p>
        </w:tc>
      </w:tr>
      <w:tr w:rsidR="005C1A8D" w:rsidTr="00026728">
        <w:tc>
          <w:tcPr>
            <w:tcW w:w="2065" w:type="dxa"/>
          </w:tcPr>
          <w:p w:rsidR="005C1A8D" w:rsidRDefault="005C1A8D" w:rsidP="00311C6A">
            <w:r>
              <w:t>TSTATS Local</w:t>
            </w:r>
          </w:p>
        </w:tc>
        <w:tc>
          <w:tcPr>
            <w:tcW w:w="4860" w:type="dxa"/>
          </w:tcPr>
          <w:p w:rsidR="005C1A8D" w:rsidRDefault="005C1A8D" w:rsidP="00311C6A">
            <w:r>
              <w:t>Determine whether or not the TSTATS macro will be distributed.</w:t>
            </w:r>
          </w:p>
        </w:tc>
        <w:tc>
          <w:tcPr>
            <w:tcW w:w="2425" w:type="dxa"/>
          </w:tcPr>
          <w:p w:rsidR="005C1A8D" w:rsidRDefault="005C1A8D" w:rsidP="001E356C">
            <w:r>
              <w:t>No</w:t>
            </w:r>
          </w:p>
        </w:tc>
      </w:tr>
      <w:tr w:rsidR="005C1A8D" w:rsidTr="00026728">
        <w:tc>
          <w:tcPr>
            <w:tcW w:w="2065" w:type="dxa"/>
          </w:tcPr>
          <w:p w:rsidR="005C1A8D" w:rsidRDefault="005C1A8D" w:rsidP="00311C6A">
            <w:r>
              <w:t>TSTATS Summaries Only</w:t>
            </w:r>
          </w:p>
        </w:tc>
        <w:tc>
          <w:tcPr>
            <w:tcW w:w="4860" w:type="dxa"/>
          </w:tcPr>
          <w:p w:rsidR="005C1A8D" w:rsidRDefault="005C1A8D" w:rsidP="00311C6A">
            <w:r>
              <w:t>Determine whether or not the TSTATS or summaries only macro will on search accelerated events.</w:t>
            </w:r>
          </w:p>
        </w:tc>
        <w:tc>
          <w:tcPr>
            <w:tcW w:w="2425" w:type="dxa"/>
          </w:tcPr>
          <w:p w:rsidR="005C1A8D" w:rsidRDefault="005C1A8D" w:rsidP="001E356C">
            <w:r>
              <w:t>Yes</w:t>
            </w:r>
          </w:p>
        </w:tc>
      </w:tr>
      <w:tr w:rsidR="005C1A8D" w:rsidTr="00026728">
        <w:tc>
          <w:tcPr>
            <w:tcW w:w="2065" w:type="dxa"/>
          </w:tcPr>
          <w:p w:rsidR="005C1A8D" w:rsidRDefault="005C1A8D" w:rsidP="00311C6A">
            <w:r>
              <w:t>Use Other</w:t>
            </w:r>
          </w:p>
        </w:tc>
        <w:tc>
          <w:tcPr>
            <w:tcW w:w="4860" w:type="dxa"/>
          </w:tcPr>
          <w:p w:rsidR="005C1A8D" w:rsidRDefault="005C1A8D" w:rsidP="00311C6A">
            <w:r>
              <w:t>Enable or disable the OTHER on charts that exceed default series limits.</w:t>
            </w:r>
          </w:p>
        </w:tc>
        <w:tc>
          <w:tcPr>
            <w:tcW w:w="2425" w:type="dxa"/>
          </w:tcPr>
          <w:p w:rsidR="005C1A8D" w:rsidRDefault="005C1A8D" w:rsidP="001E356C">
            <w:r>
              <w:t>Enable</w:t>
            </w:r>
          </w:p>
        </w:tc>
      </w:tr>
      <w:tr w:rsidR="005C1A8D" w:rsidTr="00026728">
        <w:tc>
          <w:tcPr>
            <w:tcW w:w="2065" w:type="dxa"/>
          </w:tcPr>
          <w:p w:rsidR="005C1A8D" w:rsidRDefault="005C1A8D" w:rsidP="00311C6A">
            <w:r>
              <w:t>Website Watchlist Search</w:t>
            </w:r>
          </w:p>
        </w:tc>
        <w:tc>
          <w:tcPr>
            <w:tcW w:w="4860" w:type="dxa"/>
          </w:tcPr>
          <w:p w:rsidR="005C1A8D" w:rsidRDefault="005C1A8D" w:rsidP="00311C6A">
            <w:r>
              <w:t>A list of watchlisted websites used by the “Watchlisted Events” correlation search.</w:t>
            </w:r>
          </w:p>
        </w:tc>
        <w:tc>
          <w:tcPr>
            <w:tcW w:w="2425" w:type="dxa"/>
          </w:tcPr>
          <w:p w:rsidR="005C1A8D" w:rsidRDefault="005C1A8D" w:rsidP="001E356C">
            <w:r>
              <w:t>(indeed.com OR simplyhired.com OR monster.com)</w:t>
            </w:r>
            <w:bookmarkStart w:id="0" w:name="_GoBack"/>
            <w:bookmarkEnd w:id="0"/>
          </w:p>
        </w:tc>
      </w:tr>
    </w:tbl>
    <w:p w:rsidR="00311C6A" w:rsidRDefault="00311C6A" w:rsidP="00311C6A"/>
    <w:sectPr w:rsidR="00311C6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17F5" w:rsidRDefault="001117F5" w:rsidP="001117F5">
      <w:pPr>
        <w:spacing w:after="0" w:line="240" w:lineRule="auto"/>
      </w:pPr>
      <w:r>
        <w:separator/>
      </w:r>
    </w:p>
  </w:endnote>
  <w:endnote w:type="continuationSeparator" w:id="0">
    <w:p w:rsidR="001117F5" w:rsidRDefault="001117F5" w:rsidP="00111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1429266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1117F5" w:rsidRDefault="001117F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1117F5" w:rsidRDefault="001117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17F5" w:rsidRDefault="001117F5" w:rsidP="001117F5">
      <w:pPr>
        <w:spacing w:after="0" w:line="240" w:lineRule="auto"/>
      </w:pPr>
      <w:r>
        <w:separator/>
      </w:r>
    </w:p>
  </w:footnote>
  <w:footnote w:type="continuationSeparator" w:id="0">
    <w:p w:rsidR="001117F5" w:rsidRDefault="001117F5" w:rsidP="001117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291FB1"/>
    <w:multiLevelType w:val="hybridMultilevel"/>
    <w:tmpl w:val="EC9CA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C6A"/>
    <w:rsid w:val="00026728"/>
    <w:rsid w:val="001117F5"/>
    <w:rsid w:val="001E356C"/>
    <w:rsid w:val="00282A3A"/>
    <w:rsid w:val="00311C6A"/>
    <w:rsid w:val="003A62B3"/>
    <w:rsid w:val="005C1A8D"/>
    <w:rsid w:val="005D563E"/>
    <w:rsid w:val="006C3B81"/>
    <w:rsid w:val="00DB0151"/>
    <w:rsid w:val="00FB0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FCED03-108C-4B77-AB02-7AC65B267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C6A"/>
    <w:pPr>
      <w:ind w:left="720"/>
      <w:contextualSpacing/>
    </w:pPr>
  </w:style>
  <w:style w:type="table" w:styleId="TableGrid">
    <w:name w:val="Table Grid"/>
    <w:basedOn w:val="TableNormal"/>
    <w:uiPriority w:val="39"/>
    <w:rsid w:val="00311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117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7F5"/>
  </w:style>
  <w:style w:type="paragraph" w:styleId="Footer">
    <w:name w:val="footer"/>
    <w:basedOn w:val="Normal"/>
    <w:link w:val="FooterChar"/>
    <w:uiPriority w:val="99"/>
    <w:unhideWhenUsed/>
    <w:rsid w:val="001117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7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ManTech International Corporation</Company>
  <LinksUpToDate>false</LinksUpToDate>
  <CharactersWithSpaces>2885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Corrigan, Michael A</dc:creator>
  <cp:keywords/>
  <dc:description/>
  <cp:lastModifiedBy>Corrigan, Michael A</cp:lastModifiedBy>
  <cp:revision>9</cp:revision>
  <dcterms:created xsi:type="dcterms:W3CDTF">2017-01-18T20:09:00Z</dcterms:created>
  <dcterms:modified xsi:type="dcterms:W3CDTF">2017-01-18T21:31:00Z</dcterms:modified>
</cp:coreProperties>
</file>