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晉澧精密工業控股有限公司-僱員手冊"/>
    <w:p>
      <w:pPr>
        <w:pStyle w:val="Heading1"/>
      </w:pPr>
      <w:r>
        <w:rPr>
          <w:rFonts w:hint="eastAsia"/>
        </w:rPr>
        <w:t xml:space="preserve">晉澧精密工業控股有限公司</w:t>
      </w:r>
      <w:r>
        <w:t xml:space="preserve"> </w:t>
      </w:r>
      <w:r>
        <w:rPr>
          <w:rFonts w:hint="eastAsia"/>
        </w:rPr>
        <w:t xml:space="preserve">僱員手冊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：JL-HR-001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6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發布日期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責任部門</w:t>
      </w:r>
      <w:r>
        <w:rPr>
          <w:rFonts w:hint="eastAsia"/>
        </w:rPr>
        <w:t xml:space="preserve">：人力資源部</w:t>
      </w:r>
      <w:r>
        <w:t xml:space="preserve"> </w:t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：人力資源部主管</w:t>
      </w:r>
      <w:r>
        <w:t xml:space="preserve"> </w:t>
      </w:r>
      <w:r>
        <w:rPr>
          <w:rFonts w:hint="eastAsia"/>
        </w:rPr>
        <w:t xml:space="preserve">李慧珊</w:t>
      </w:r>
    </w:p>
    <w:bookmarkStart w:id="9" w:name="一總則"/>
    <w:p>
      <w:pPr>
        <w:pStyle w:val="Heading2"/>
      </w:pPr>
      <w:r>
        <w:rPr>
          <w:rFonts w:hint="eastAsia"/>
        </w:rPr>
        <w:t xml:space="preserve">一、總則</w:t>
      </w:r>
    </w:p>
    <w:p>
      <w:pPr>
        <w:pStyle w:val="FirstParagraph"/>
      </w:pPr>
      <w:r>
        <w:rPr>
          <w:rFonts w:hint="eastAsia"/>
        </w:rPr>
        <w:t xml:space="preserve">本手冊適用於集團全體僱員，包括香港總部及東莞晉澧精密電子有限公司。香港僱員的僱傭條件遵守《僱傭條例》《僱員補償條例》《最低工資條例》及《強制性公積金計劃條例》；內地僱員遵守《勞動合同法》《社會保險法》及廣東省、東莞市相關規定。手冊條款與適用法規不一致時，以法規為準。</w:t>
      </w:r>
    </w:p>
    <w:bookmarkEnd w:id="9"/>
    <w:bookmarkStart w:id="10" w:name="二招聘與平等機會"/>
    <w:p>
      <w:pPr>
        <w:pStyle w:val="Heading2"/>
      </w:pPr>
      <w:r>
        <w:rPr>
          <w:rFonts w:hint="eastAsia"/>
        </w:rPr>
        <w:t xml:space="preserve">二、招聘與平等機會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招聘以崗位要求及候選人能力為唯一依據，不因性別、年齡、種族、宗教、婚姻狀況、懷孕、殘疾或家庭崗位而區別對待。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全部崗位公開招聘，招聘廣告不得載有歧視性要求。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招聘須核實身份證明文件及年齡，集團不僱用未滿</w:t>
      </w:r>
      <w:r>
        <w:t xml:space="preserve"> 18 </w:t>
      </w:r>
      <w:r>
        <w:rPr>
          <w:rFonts w:hint="eastAsia"/>
        </w:rPr>
        <w:t xml:space="preserve">歲人士從事生產崗位；內地實習生須年滿</w:t>
      </w:r>
      <w:r>
        <w:t xml:space="preserve"> 18 </w:t>
      </w:r>
      <w:r>
        <w:rPr>
          <w:rFonts w:hint="eastAsia"/>
        </w:rPr>
        <w:t xml:space="preserve">歲並簽署三方協議。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集團不收取任何招聘費用或押金，不扣押僱員身份證件。</w:t>
      </w:r>
    </w:p>
    <w:bookmarkEnd w:id="10"/>
    <w:bookmarkStart w:id="11" w:name="三僱傭合同與勞工準則"/>
    <w:p>
      <w:pPr>
        <w:pStyle w:val="Heading2"/>
      </w:pPr>
      <w:r>
        <w:rPr>
          <w:rFonts w:hint="eastAsia"/>
        </w:rPr>
        <w:t xml:space="preserve">三、僱傭合同與勞工準則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全部僱員入職時簽署書面僱傭合同（內地為勞動合同），列明崗位、工時、薪酬及解僱條款。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集團禁止任何形式的強制勞工：加班須僱員自願，僱員可按合同通知期辭職，不設任何限制人身自由的措施。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人力資源部每半年抽查入職檔案，核查年齡證明及合同簽署情況；2025</w:t>
      </w:r>
      <w:r>
        <w:t xml:space="preserve"> </w:t>
      </w:r>
      <w:r>
        <w:rPr>
          <w:rFonts w:hint="eastAsia"/>
        </w:rPr>
        <w:t xml:space="preserve">年兩次抽查各</w:t>
      </w:r>
      <w:r>
        <w:t xml:space="preserve"> 60 </w:t>
      </w:r>
      <w:r>
        <w:rPr>
          <w:rFonts w:hint="eastAsia"/>
        </w:rPr>
        <w:t xml:space="preserve">份檔案，未發現童工或強制勞工情況。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供應商及外判承辦商須遵守《供應商行為準則》中的同等勞工準則要求。</w:t>
      </w:r>
    </w:p>
    <w:bookmarkEnd w:id="11"/>
    <w:bookmarkStart w:id="12" w:name="四薪酬與福利"/>
    <w:p>
      <w:pPr>
        <w:pStyle w:val="Heading2"/>
      </w:pPr>
      <w:r>
        <w:rPr>
          <w:rFonts w:hint="eastAsia"/>
        </w:rPr>
        <w:t xml:space="preserve">四、薪酬與福利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薪酬由基本工資、崗位津貼、加班費及績效獎金構成，每年檢討一次；2025</w:t>
      </w:r>
      <w:r>
        <w:t xml:space="preserve"> </w:t>
      </w:r>
      <w:r>
        <w:rPr>
          <w:rFonts w:hint="eastAsia"/>
        </w:rPr>
        <w:t xml:space="preserve">年整體薪酬調整幅度平均</w:t>
      </w:r>
      <w:r>
        <w:t xml:space="preserve"> 4.0%。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香港僱員參加強制性公積金計劃，集團按法定比例供款；內地僱員參加養老、醫療、失業、工傷、生育五項社會保險及住房公積金。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法定以外福利：全體僱員團體醫療保險、年度體檢、生日假</w:t>
      </w:r>
      <w:r>
        <w:t xml:space="preserve"> 1 </w:t>
      </w:r>
      <w:r>
        <w:rPr>
          <w:rFonts w:hint="eastAsia"/>
        </w:rPr>
        <w:t xml:space="preserve">天、婚假及恩恤假、東莞廠員工宿舍及飯堂補貼、每年一次員工旅行、子女獎學金。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工資以銀行轉帳按月支付，不得以實物或代金券替代。</w:t>
      </w:r>
    </w:p>
    <w:bookmarkEnd w:id="12"/>
    <w:bookmarkStart w:id="13" w:name="五工時與休假"/>
    <w:p>
      <w:pPr>
        <w:pStyle w:val="Heading2"/>
      </w:pPr>
      <w:r>
        <w:rPr>
          <w:rFonts w:hint="eastAsia"/>
        </w:rPr>
        <w:t xml:space="preserve">五、工時與休假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標準工時：香港每週</w:t>
      </w:r>
      <w:r>
        <w:t xml:space="preserve"> 44 </w:t>
      </w:r>
      <w:r>
        <w:rPr>
          <w:rFonts w:hint="eastAsia"/>
        </w:rPr>
        <w:t xml:space="preserve">小時；東莞廠實行綜合計算工時制，經當地人力資源和社會保障部門批准，月平均加班不超過</w:t>
      </w:r>
      <w:r>
        <w:t xml:space="preserve"> 36 </w:t>
      </w:r>
      <w:r>
        <w:rPr>
          <w:rFonts w:hint="eastAsia"/>
        </w:rPr>
        <w:t xml:space="preserve">小時。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加班須事先申請並經主管批准，按法定標準支付加班費或安排補休。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年假：香港僱員按《僱傭條例》及公司規定</w:t>
      </w:r>
      <w:r>
        <w:t xml:space="preserve"> 10–18 </w:t>
      </w:r>
      <w:r>
        <w:rPr>
          <w:rFonts w:hint="eastAsia"/>
        </w:rPr>
        <w:t xml:space="preserve">天；內地僱員按工作年限</w:t>
      </w:r>
      <w:r>
        <w:t xml:space="preserve"> 5–15 </w:t>
      </w:r>
      <w:r>
        <w:rPr>
          <w:rFonts w:hint="eastAsia"/>
        </w:rPr>
        <w:t xml:space="preserve">天。另設法定假期、病假、產假、侍產假及年度體檢假。</w:t>
      </w:r>
    </w:p>
    <w:bookmarkEnd w:id="13"/>
    <w:bookmarkStart w:id="14" w:name="六培訓與發展"/>
    <w:p>
      <w:pPr>
        <w:pStyle w:val="Heading2"/>
      </w:pPr>
      <w:r>
        <w:rPr>
          <w:rFonts w:hint="eastAsia"/>
        </w:rPr>
        <w:t xml:space="preserve">六、培訓與發展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新僱員入職培訓不少於</w:t>
      </w:r>
      <w:r>
        <w:t xml:space="preserve"> 16 </w:t>
      </w:r>
      <w:r>
        <w:rPr>
          <w:rFonts w:hint="eastAsia"/>
        </w:rPr>
        <w:t xml:space="preserve">小時，包括公司制度、職業安全、品質意識及反貪污。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各部門每年制訂培訓計劃，人力資源部按年度培訓需求調查匯總；培訓記錄按僱員個人保存。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技術崗位設初級、中級、高級技工晉升通道，管理崗位每年進行績效與晉升評估。</w:t>
      </w:r>
    </w:p>
    <w:bookmarkEnd w:id="14"/>
    <w:bookmarkStart w:id="15" w:name="七健康與安全"/>
    <w:p>
      <w:pPr>
        <w:pStyle w:val="Heading2"/>
      </w:pPr>
      <w:r>
        <w:rPr>
          <w:rFonts w:hint="eastAsia"/>
        </w:rPr>
        <w:t xml:space="preserve">七、健康與安全</w:t>
      </w:r>
    </w:p>
    <w:p>
      <w:pPr>
        <w:pStyle w:val="FirstParagraph"/>
      </w:pPr>
      <w:r>
        <w:rPr>
          <w:rFonts w:hint="eastAsia"/>
        </w:rPr>
        <w:t xml:space="preserve">僱員須遵守《職業健康與安全管理制度》（JL-EHS-004）及崗位安全操作規程，正確使用個人防護裝備，並有權拒絕明顯危及安全的作業指令。</w:t>
      </w:r>
    </w:p>
    <w:bookmarkEnd w:id="15"/>
    <w:bookmarkStart w:id="16" w:name="八申訴與舉報"/>
    <w:p>
      <w:pPr>
        <w:pStyle w:val="Heading2"/>
      </w:pPr>
      <w:r>
        <w:rPr>
          <w:rFonts w:hint="eastAsia"/>
        </w:rPr>
        <w:t xml:space="preserve">八、申訴與舉報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僱員可就僱傭條件、歧視、騷擾或不公平對待向直屬主管、人力資源部或僱員意見箱提出申訴，人力資源部須在</w:t>
      </w:r>
      <w:r>
        <w:t xml:space="preserve"> 10 </w:t>
      </w:r>
      <w:r>
        <w:rPr>
          <w:rFonts w:hint="eastAsia"/>
        </w:rPr>
        <w:t xml:space="preserve">個工作日內回覆。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涉及貪污、舞弊或違反商業道德的事項，按《反貪污及舉報政策》（JL-LEG-001）向公司秘書或審核委員會主席舉報。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集團禁止對善意申訴或舉報人作出任何報復。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東莞廠每季召開一次員工代表座談會，由廠總經理及人力資源部主管出席。</w:t>
      </w:r>
    </w:p>
    <w:bookmarkEnd w:id="16"/>
    <w:bookmarkStart w:id="17" w:name="九紀律"/>
    <w:p>
      <w:pPr>
        <w:pStyle w:val="Heading2"/>
      </w:pPr>
      <w:r>
        <w:rPr>
          <w:rFonts w:hint="eastAsia"/>
        </w:rPr>
        <w:t xml:space="preserve">九、紀律</w:t>
      </w:r>
    </w:p>
    <w:p>
      <w:pPr>
        <w:pStyle w:val="FirstParagraph"/>
      </w:pPr>
      <w:r>
        <w:rPr>
          <w:rFonts w:hint="eastAsia"/>
        </w:rPr>
        <w:t xml:space="preserve">違反手冊的行為按情節分為口頭警告、書面警告、最後警告及解僱四級處理，重大違紀（如貪污、嚴重安全違規、洩露客戶機密）可即時解僱。紀律處分須經人力資源部審核，僱員有權申辯。</w:t>
      </w:r>
    </w:p>
    <w:bookmarkEnd w:id="17"/>
    <w:bookmarkStart w:id="18" w:name="十資料保護"/>
    <w:p>
      <w:pPr>
        <w:pStyle w:val="Heading2"/>
      </w:pPr>
      <w:r>
        <w:rPr>
          <w:rFonts w:hint="eastAsia"/>
        </w:rPr>
        <w:t xml:space="preserve">十、資料保護</w:t>
      </w:r>
    </w:p>
    <w:p>
      <w:pPr>
        <w:pStyle w:val="FirstParagraph"/>
      </w:pPr>
      <w:r>
        <w:rPr>
          <w:rFonts w:hint="eastAsia"/>
        </w:rPr>
        <w:t xml:space="preserve">僱員個人資料按《資料保障及私隱政策》（JL-IT-001）及《個人資料（私隱）條例》《個人信息保護法》處理，僅用於僱傭管理目的。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