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品質管理手冊"/>
    <w:p>
      <w:pPr>
        <w:pStyle w:val="Heading1"/>
      </w:pPr>
      <w:r>
        <w:rPr>
          <w:rFonts w:hint="eastAsia"/>
        </w:rPr>
        <w:t xml:space="preserve">品質管理手冊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rPr>
          <w:rFonts w:hint="eastAsia"/>
        </w:rPr>
        <w:t xml:space="preserve">：JL-QA-001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：第</w:t>
      </w:r>
      <w:r>
        <w:t xml:space="preserve"> 7 </w:t>
      </w:r>
      <w:r>
        <w:rPr>
          <w:rFonts w:hint="eastAsia"/>
        </w:rPr>
        <w:t xml:space="preserve">版</w:t>
      </w:r>
      <w:r>
        <w:t xml:space="preserve"> </w:t>
      </w:r>
      <w:r>
        <w:rPr>
          <w:rFonts w:hint="eastAsia"/>
          <w:b/>
          <w:bCs/>
        </w:rPr>
        <w:t xml:space="preserve">修訂日期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發布部門</w:t>
      </w:r>
      <w:r>
        <w:rPr>
          <w:rFonts w:hint="eastAsia"/>
        </w:rPr>
        <w:t xml:space="preserve">：品質部</w:t>
      </w:r>
      <w:r>
        <w:t xml:space="preserve"> </w:t>
      </w:r>
      <w:r>
        <w:rPr>
          <w:rFonts w:hint="eastAsia"/>
          <w:b/>
          <w:bCs/>
        </w:rPr>
        <w:t xml:space="preserve">簽核人</w:t>
      </w:r>
      <w:r>
        <w:rPr>
          <w:rFonts w:hint="eastAsia"/>
        </w:rPr>
        <w:t xml:space="preserve">：品質部主管</w:t>
      </w:r>
      <w:r>
        <w:t xml:space="preserve"> </w:t>
      </w:r>
      <w:r>
        <w:rPr>
          <w:rFonts w:hint="eastAsia"/>
        </w:rPr>
        <w:t xml:space="preserve">張永樂</w:t>
      </w:r>
    </w:p>
    <w:bookmarkStart w:id="11" w:name="第一章-總則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總則</w:t>
      </w:r>
    </w:p>
    <w:bookmarkStart w:id="9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規範集團產品由設計、來料、製程到出貨的品質保證流程，確保產品符合客戶規範及適用的產品安全與健康要求，並建立產品回收、客戶投訴及知識產權保護的程序。</w:t>
      </w:r>
    </w:p>
    <w:bookmarkEnd w:id="9"/>
    <w:bookmarkStart w:id="10" w:name="體系"/>
    <w:p>
      <w:pPr>
        <w:pStyle w:val="Heading3"/>
      </w:pPr>
      <w:r>
        <w:t xml:space="preserve">1.2 </w:t>
      </w:r>
      <w:r>
        <w:rPr>
          <w:rFonts w:hint="eastAsia"/>
        </w:rPr>
        <w:t xml:space="preserve">體系</w:t>
      </w:r>
    </w:p>
    <w:p>
      <w:pPr>
        <w:pStyle w:val="FirstParagraph"/>
      </w:pPr>
      <w:r>
        <w:rPr>
          <w:rFonts w:hint="eastAsia"/>
        </w:rPr>
        <w:t xml:space="preserve">集團持有</w:t>
      </w:r>
      <w:r>
        <w:t xml:space="preserve"> ISO </w:t>
      </w:r>
      <w:r>
        <w:rPr>
          <w:rFonts w:hint="eastAsia"/>
        </w:rPr>
        <w:t xml:space="preserve">9001（2008</w:t>
      </w:r>
      <w:r>
        <w:t xml:space="preserve"> </w:t>
      </w:r>
      <w:r>
        <w:rPr>
          <w:rFonts w:hint="eastAsia"/>
        </w:rPr>
        <w:t xml:space="preserve">年首次認證）及</w:t>
      </w:r>
      <w:r>
        <w:t xml:space="preserve"> IATF </w:t>
      </w:r>
      <w:r>
        <w:rPr>
          <w:rFonts w:hint="eastAsia"/>
        </w:rPr>
        <w:t xml:space="preserve">16949（2017</w:t>
      </w:r>
      <w:r>
        <w:t xml:space="preserve"> </w:t>
      </w:r>
      <w:r>
        <w:rPr>
          <w:rFonts w:hint="eastAsia"/>
        </w:rPr>
        <w:t xml:space="preserve">年首次認證）認證，覆蓋東莞廠全部產品。體系每年接受外部監督審核，2025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月監督審核無重大不符合項。</w:t>
      </w:r>
    </w:p>
    <w:bookmarkEnd w:id="10"/>
    <w:bookmarkEnd w:id="11"/>
    <w:bookmarkStart w:id="17" w:name="第二章-品質保證流程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品質保證流程</w:t>
      </w:r>
    </w:p>
    <w:bookmarkStart w:id="12" w:name="設計與開發"/>
    <w:p>
      <w:pPr>
        <w:pStyle w:val="Heading3"/>
      </w:pPr>
      <w:r>
        <w:t xml:space="preserve">2.1 </w:t>
      </w:r>
      <w:r>
        <w:rPr>
          <w:rFonts w:hint="eastAsia"/>
        </w:rPr>
        <w:t xml:space="preserve">設計與開發</w:t>
      </w:r>
    </w:p>
    <w:p>
      <w:pPr>
        <w:pStyle w:val="FirstParagraph"/>
      </w:pPr>
      <w:r>
        <w:rPr>
          <w:rFonts w:hint="eastAsia"/>
        </w:rPr>
        <w:t xml:space="preserve">新產品按</w:t>
      </w:r>
      <w:r>
        <w:t xml:space="preserve"> APQP </w:t>
      </w:r>
      <w:r>
        <w:rPr>
          <w:rFonts w:hint="eastAsia"/>
        </w:rPr>
        <w:t xml:space="preserve">五階段管理，設計評審須涵蓋客戶規範、法規要求（包括</w:t>
      </w:r>
      <w:r>
        <w:t xml:space="preserve"> RoHS、REACH </w:t>
      </w:r>
      <w:r>
        <w:rPr>
          <w:rFonts w:hint="eastAsia"/>
        </w:rPr>
        <w:t xml:space="preserve">等有害物質限制）及可製造性；量產前完成</w:t>
      </w:r>
      <w:r>
        <w:t xml:space="preserve"> PPAP </w:t>
      </w:r>
      <w:r>
        <w:rPr>
          <w:rFonts w:hint="eastAsia"/>
        </w:rPr>
        <w:t xml:space="preserve">提交並取得客戶批准。</w:t>
      </w:r>
    </w:p>
    <w:bookmarkEnd w:id="12"/>
    <w:bookmarkStart w:id="13" w:name="來料檢驗"/>
    <w:p>
      <w:pPr>
        <w:pStyle w:val="Heading3"/>
      </w:pPr>
      <w:r>
        <w:t xml:space="preserve">2.2 </w:t>
      </w:r>
      <w:r>
        <w:rPr>
          <w:rFonts w:hint="eastAsia"/>
        </w:rPr>
        <w:t xml:space="preserve">來料檢驗</w:t>
      </w:r>
    </w:p>
    <w:p>
      <w:pPr>
        <w:pStyle w:val="FirstParagraph"/>
      </w:pPr>
      <w:r>
        <w:rPr>
          <w:rFonts w:hint="eastAsia"/>
        </w:rPr>
        <w:t xml:space="preserve">金屬帶材、工程塑膠及電鍍件按</w:t>
      </w:r>
      <w:r>
        <w:t xml:space="preserve"> AQL </w:t>
      </w:r>
      <w:r>
        <w:rPr>
          <w:rFonts w:hint="eastAsia"/>
        </w:rPr>
        <w:t xml:space="preserve">抽樣檢驗，關鍵尺寸及材質須附供應商出廠報告；每批金屬材料抽檢厚度、硬度及成分，有害物質須附第三方檢測報告（每年更新）。</w:t>
      </w:r>
    </w:p>
    <w:bookmarkEnd w:id="13"/>
    <w:bookmarkStart w:id="14" w:name="製程控制"/>
    <w:p>
      <w:pPr>
        <w:pStyle w:val="Heading3"/>
      </w:pPr>
      <w:r>
        <w:t xml:space="preserve">2.3 </w:t>
      </w:r>
      <w:r>
        <w:rPr>
          <w:rFonts w:hint="eastAsia"/>
        </w:rPr>
        <w:t xml:space="preserve">製程控制</w:t>
      </w:r>
    </w:p>
    <w:p>
      <w:pPr>
        <w:pStyle w:val="FirstParagraph"/>
      </w:pPr>
      <w:r>
        <w:rPr>
          <w:rFonts w:hint="eastAsia"/>
        </w:rPr>
        <w:t xml:space="preserve">沖壓線首件確認及每兩小時巡檢，關鍵尺寸採用</w:t>
      </w:r>
      <w:r>
        <w:t xml:space="preserve"> SPC </w:t>
      </w:r>
      <w:r>
        <w:rPr>
          <w:rFonts w:hint="eastAsia"/>
        </w:rPr>
        <w:t xml:space="preserve">監控；注塑及組裝設過程檢驗點；全部沖壓線配備在線影像檢測，不合格品自動剔除。</w:t>
      </w:r>
    </w:p>
    <w:bookmarkEnd w:id="14"/>
    <w:bookmarkStart w:id="15" w:name="出貨檢驗"/>
    <w:p>
      <w:pPr>
        <w:pStyle w:val="Heading3"/>
      </w:pPr>
      <w:r>
        <w:t xml:space="preserve">2.4 </w:t>
      </w:r>
      <w:r>
        <w:rPr>
          <w:rFonts w:hint="eastAsia"/>
        </w:rPr>
        <w:t xml:space="preserve">出貨檢驗</w:t>
      </w:r>
    </w:p>
    <w:p>
      <w:pPr>
        <w:pStyle w:val="FirstParagraph"/>
      </w:pPr>
      <w:r>
        <w:rPr>
          <w:rFonts w:hint="eastAsia"/>
        </w:rPr>
        <w:t xml:space="preserve">按客戶規範進行外觀、尺寸、電性及鹽霧試驗抽檢，出貨須附檢驗報告及可追溯的批次標識；汽車客戶產品實施</w:t>
      </w:r>
      <w:r>
        <w:t xml:space="preserve"> 100% </w:t>
      </w:r>
      <w:r>
        <w:rPr>
          <w:rFonts w:hint="eastAsia"/>
        </w:rPr>
        <w:t xml:space="preserve">批次追溯。</w:t>
      </w:r>
    </w:p>
    <w:bookmarkEnd w:id="15"/>
    <w:bookmarkStart w:id="16" w:name="不合格品"/>
    <w:p>
      <w:pPr>
        <w:pStyle w:val="Heading3"/>
      </w:pPr>
      <w:r>
        <w:t xml:space="preserve">2.5 </w:t>
      </w:r>
      <w:r>
        <w:rPr>
          <w:rFonts w:hint="eastAsia"/>
        </w:rPr>
        <w:t xml:space="preserve">不合格品</w:t>
      </w:r>
    </w:p>
    <w:p>
      <w:pPr>
        <w:pStyle w:val="FirstParagraph"/>
      </w:pPr>
      <w:r>
        <w:rPr>
          <w:rFonts w:hint="eastAsia"/>
        </w:rPr>
        <w:t xml:space="preserve">不合格品隔離標識，經</w:t>
      </w:r>
      <w:r>
        <w:t xml:space="preserve"> MRB </w:t>
      </w:r>
      <w:r>
        <w:rPr>
          <w:rFonts w:hint="eastAsia"/>
        </w:rPr>
        <w:t xml:space="preserve">評審決定返工、讓步或報廢；每月統計不合格率並召開品質例會。2025</w:t>
      </w:r>
      <w:r>
        <w:t xml:space="preserve"> </w:t>
      </w:r>
      <w:r>
        <w:rPr>
          <w:rFonts w:hint="eastAsia"/>
        </w:rPr>
        <w:t xml:space="preserve">年出貨不良率</w:t>
      </w:r>
      <w:r>
        <w:t xml:space="preserve"> 38 </w:t>
      </w:r>
      <w:r>
        <w:rPr>
          <w:rFonts w:hint="eastAsia"/>
        </w:rPr>
        <w:t xml:space="preserve">ppm（目標</w:t>
      </w:r>
      <w:r>
        <w:t xml:space="preserve"> 50 ppm </w:t>
      </w:r>
      <w:r>
        <w:rPr>
          <w:rFonts w:hint="eastAsia"/>
        </w:rPr>
        <w:t xml:space="preserve">以下）。</w:t>
      </w:r>
    </w:p>
    <w:bookmarkEnd w:id="16"/>
    <w:bookmarkEnd w:id="17"/>
    <w:bookmarkStart w:id="18" w:name="第三章-產品安全與回收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產品安全與回收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產品有害物質管理遵守客戶指定的</w:t>
      </w:r>
      <w:r>
        <w:t xml:space="preserve"> RoHS、REACH </w:t>
      </w:r>
      <w:r>
        <w:rPr>
          <w:rFonts w:hint="eastAsia"/>
        </w:rPr>
        <w:t xml:space="preserve">及</w:t>
      </w:r>
      <w:r>
        <w:t xml:space="preserve"> IEC 62474 </w:t>
      </w:r>
      <w:r>
        <w:rPr>
          <w:rFonts w:hint="eastAsia"/>
        </w:rPr>
        <w:t xml:space="preserve">物質清單，材料變更須重新提交有害物質報告。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發現可能影響安全與健康的產品缺陷時，品質部於</w:t>
      </w:r>
      <w:r>
        <w:t xml:space="preserve"> 24 </w:t>
      </w:r>
      <w:r>
        <w:rPr>
          <w:rFonts w:hint="eastAsia"/>
        </w:rPr>
        <w:t xml:space="preserve">小時內啟動《產品回收程序》：識別受影響批次、通知客戶、隔離庫存、根因分析及糾正，並向管理層報告。</w:t>
      </w:r>
    </w:p>
    <w:p>
      <w:pPr>
        <w:pStyle w:val="Compact"/>
        <w:numPr>
          <w:ilvl w:val="0"/>
          <w:numId w:val="1001"/>
        </w:numPr>
      </w:pPr>
      <w:r>
        <w:t xml:space="preserve">2025 </w:t>
      </w:r>
      <w:r>
        <w:rPr>
          <w:rFonts w:hint="eastAsia"/>
        </w:rPr>
        <w:t xml:space="preserve">年無因安全與健康理由須回收的產品，回收比例為</w:t>
      </w:r>
      <w:r>
        <w:t xml:space="preserve"> 0%。</w:t>
      </w:r>
    </w:p>
    <w:bookmarkEnd w:id="18"/>
    <w:bookmarkStart w:id="19" w:name="第四章-客戶投訴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客戶投訴</w:t>
      </w:r>
    </w:p>
    <w:p>
      <w:pPr>
        <w:pStyle w:val="FirstParagraph"/>
      </w:pPr>
      <w:r>
        <w:rPr>
          <w:rFonts w:hint="eastAsia"/>
        </w:rPr>
        <w:t xml:space="preserve">客戶投訴按《客戶服務及投訴處理程序》（JL-CS-001）處理：銷售及客戶服務部</w:t>
      </w:r>
      <w:r>
        <w:t xml:space="preserve"> 24 </w:t>
      </w:r>
      <w:r>
        <w:rPr>
          <w:rFonts w:hint="eastAsia"/>
        </w:rPr>
        <w:t xml:space="preserve">小時內確認、品質部</w:t>
      </w:r>
      <w:r>
        <w:t xml:space="preserve"> 3 </w:t>
      </w:r>
      <w:r>
        <w:rPr>
          <w:rFonts w:hint="eastAsia"/>
        </w:rPr>
        <w:t xml:space="preserve">個工作日內提交初步分析、10</w:t>
      </w:r>
      <w:r>
        <w:t xml:space="preserve"> </w:t>
      </w:r>
      <w:r>
        <w:rPr>
          <w:rFonts w:hint="eastAsia"/>
        </w:rPr>
        <w:t xml:space="preserve">個工作日內提交</w:t>
      </w:r>
      <w:r>
        <w:t xml:space="preserve"> 8D </w:t>
      </w:r>
      <w:r>
        <w:rPr>
          <w:rFonts w:hint="eastAsia"/>
        </w:rPr>
        <w:t xml:space="preserve">報告。2025</w:t>
      </w:r>
      <w:r>
        <w:t xml:space="preserve"> </w:t>
      </w:r>
      <w:r>
        <w:rPr>
          <w:rFonts w:hint="eastAsia"/>
        </w:rPr>
        <w:t xml:space="preserve">年接獲客戶投訴</w:t>
      </w:r>
      <w:r>
        <w:t xml:space="preserve"> 9 </w:t>
      </w:r>
      <w:r>
        <w:rPr>
          <w:rFonts w:hint="eastAsia"/>
        </w:rPr>
        <w:t xml:space="preserve">宗，全部於期內處理完成，詳見《2025</w:t>
      </w:r>
      <w:r>
        <w:t xml:space="preserve"> </w:t>
      </w:r>
      <w:r>
        <w:rPr>
          <w:rFonts w:hint="eastAsia"/>
        </w:rPr>
        <w:t xml:space="preserve">年度品質數據及客戶投訴記錄》。</w:t>
      </w:r>
    </w:p>
    <w:bookmarkEnd w:id="19"/>
    <w:bookmarkStart w:id="20" w:name="第五章-知識產權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知識產權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集團模具設計、沖壓工藝參數及產品圖紙為核心知識產權；模具中心圖紙及工藝文件按等級管理，只限授權人員存取。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截至</w:t>
      </w:r>
      <w:r>
        <w:t xml:space="preserve"> 2025 </w:t>
      </w:r>
      <w:r>
        <w:rPr>
          <w:rFonts w:hint="eastAsia"/>
        </w:rPr>
        <w:t xml:space="preserve">年末，集團持有中國內地發明專利</w:t>
      </w:r>
      <w:r>
        <w:t xml:space="preserve"> 6 </w:t>
      </w:r>
      <w:r>
        <w:rPr>
          <w:rFonts w:hint="eastAsia"/>
        </w:rPr>
        <w:t xml:space="preserve">項、實用新型專利</w:t>
      </w:r>
      <w:r>
        <w:t xml:space="preserve"> 29 </w:t>
      </w:r>
      <w:r>
        <w:rPr>
          <w:rFonts w:hint="eastAsia"/>
        </w:rPr>
        <w:t xml:space="preserve">項及香港短期專利</w:t>
      </w:r>
      <w:r>
        <w:t xml:space="preserve"> 2 </w:t>
      </w:r>
      <w:r>
        <w:rPr>
          <w:rFonts w:hint="eastAsia"/>
        </w:rPr>
        <w:t xml:space="preserve">項；2025</w:t>
      </w:r>
      <w:r>
        <w:t xml:space="preserve"> </w:t>
      </w:r>
      <w:r>
        <w:rPr>
          <w:rFonts w:hint="eastAsia"/>
        </w:rPr>
        <w:t xml:space="preserve">年新申請專利</w:t>
      </w:r>
      <w:r>
        <w:t xml:space="preserve"> 7 </w:t>
      </w:r>
      <w:r>
        <w:rPr>
          <w:rFonts w:hint="eastAsia"/>
        </w:rPr>
        <w:t xml:space="preserve">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客戶圖紙及規格屬客戶機密，按保密協議管理，離職僱員須簽署保密確認；供應商接觸客戶圖紙須簽署保密協議。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集團尊重第三方知識產權，新產品開發前進行專利檢索，2025</w:t>
      </w:r>
      <w:r>
        <w:t xml:space="preserve"> </w:t>
      </w:r>
      <w:r>
        <w:rPr>
          <w:rFonts w:hint="eastAsia"/>
        </w:rPr>
        <w:t xml:space="preserve">年無知識產權糾紛。</w:t>
      </w:r>
    </w:p>
    <w:bookmarkEnd w:id="20"/>
    <w:bookmarkStart w:id="21" w:name="第六章-廣告標籤及資料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廣告、標籤及資料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集團產品為工業中間品，不作面向消費者的廣告；公司網站、產品目錄及展會資料由銷售部編製，技術參數須經品質部及工程部核對，不得作誇大或無法證實的表述。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產品標籤按客戶規範及法規要求標示物料編號、批次、數量及有害物質符合性標識，出貨前由出貨檢驗核對。</w:t>
      </w:r>
    </w:p>
    <w:p>
      <w:pPr>
        <w:pStyle w:val="Compact"/>
        <w:numPr>
          <w:ilvl w:val="0"/>
          <w:numId w:val="1003"/>
        </w:numPr>
      </w:pPr>
      <w:r>
        <w:t xml:space="preserve">2025 </w:t>
      </w:r>
      <w:r>
        <w:rPr>
          <w:rFonts w:hint="eastAsia"/>
        </w:rPr>
        <w:t xml:space="preserve">年無涉及廣告、標籤或產品資料的投訴或監管查詢。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2026-09-05T07:38:03Z</dcterms:created>
  <dcterms:modified xsi:type="dcterms:W3CDTF">2026-09-05T07:38:03Z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