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廢棄物管理程序"/>
    <w:p>
      <w:pPr>
        <w:pStyle w:val="Heading1"/>
      </w:pPr>
      <w:r>
        <w:rPr>
          <w:rFonts w:hint="eastAsia"/>
        </w:rPr>
        <w:t xml:space="preserve">廢棄物管理程序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：JL-EHS-003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4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發布部門</w:t>
      </w:r>
      <w:r>
        <w:rPr>
          <w:rFonts w:hint="eastAsia"/>
        </w:rPr>
        <w:t xml:space="preserve">：環境健康安全（EHS）部</w:t>
      </w:r>
      <w:r>
        <w:t xml:space="preserve"> </w:t>
      </w:r>
      <w:r>
        <w:rPr>
          <w:rFonts w:hint="eastAsia"/>
          <w:b/>
          <w:bCs/>
        </w:rPr>
        <w:t xml:space="preserve">簽核人</w:t>
      </w:r>
      <w:r>
        <w:rPr>
          <w:rFonts w:hint="eastAsia"/>
        </w:rPr>
        <w:t xml:space="preserve">：東莞廠總經理</w:t>
      </w:r>
      <w:r>
        <w:t xml:space="preserve"> </w:t>
      </w:r>
      <w:r>
        <w:rPr>
          <w:rFonts w:hint="eastAsia"/>
        </w:rPr>
        <w:t xml:space="preserve">周啟明</w:t>
      </w:r>
    </w:p>
    <w:bookmarkStart w:id="9" w:name="一目的與範圍"/>
    <w:p>
      <w:pPr>
        <w:pStyle w:val="Heading2"/>
      </w:pPr>
      <w:r>
        <w:rPr>
          <w:rFonts w:hint="eastAsia"/>
        </w:rPr>
        <w:t xml:space="preserve">一、目的與範圍</w:t>
      </w:r>
    </w:p>
    <w:p>
      <w:pPr>
        <w:pStyle w:val="FirstParagraph"/>
      </w:pPr>
      <w:r>
        <w:rPr>
          <w:rFonts w:hint="eastAsia"/>
        </w:rPr>
        <w:t xml:space="preserve">規範東莞廠生產及辦公過程中產生的有害及無害廢棄物的分類、收集、貯存、轉移及處置，確保符合《固體廢物污染環境防治法》及廣東省危險廢物管理規定，並提高資源回收率。</w:t>
      </w:r>
    </w:p>
    <w:bookmarkEnd w:id="9"/>
    <w:bookmarkStart w:id="10" w:name="二分類"/>
    <w:p>
      <w:pPr>
        <w:pStyle w:val="Heading2"/>
      </w:pPr>
      <w:r>
        <w:rPr>
          <w:rFonts w:hint="eastAsia"/>
        </w:rPr>
        <w:t xml:space="preserve">二、分類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主要品種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有害廢棄物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廢切削液及廢油、含油抹布及手套、廢活性炭、廢化學品包裝、廢燈管、廢電池、廢油漆桶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紅色標籤，標明名稱、危險特性、產生日期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可回收無害廢棄物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銅合金及不銹鋼邊角料、注塑水口料、廢紙及紙箱、廢木托盤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藍色標籤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其他無害廢棄物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生活垃圾、沾污包裝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灰色標籤</w:t>
            </w:r>
          </w:p>
        </w:tc>
      </w:tr>
    </w:tbl>
    <w:bookmarkEnd w:id="10"/>
    <w:bookmarkStart w:id="11" w:name="三收集與貯存"/>
    <w:p>
      <w:pPr>
        <w:pStyle w:val="Heading2"/>
      </w:pPr>
      <w:r>
        <w:rPr>
          <w:rFonts w:hint="eastAsia"/>
        </w:rPr>
        <w:t xml:space="preserve">三、收集與貯存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各車間設分類收集點，金屬邊角料按銅合金、不銹鋼分桶收集，避免混料影響回收價值。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有害廢棄物集中貯存於危險廢物暫存間，暫存間設防滲地面、圍堰、通風及消防設施，貯存不超過一年。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廢切削液及廢油以專用密閉桶收集，不得與其他廢棄物混合。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暫存間由</w:t>
      </w:r>
      <w:r>
        <w:t xml:space="preserve"> EHS </w:t>
      </w:r>
      <w:r>
        <w:rPr>
          <w:rFonts w:hint="eastAsia"/>
        </w:rPr>
        <w:t xml:space="preserve">部指定專人管理，每月盤點並記錄台賬。</w:t>
      </w:r>
    </w:p>
    <w:bookmarkEnd w:id="11"/>
    <w:bookmarkStart w:id="12" w:name="四轉移與處置"/>
    <w:p>
      <w:pPr>
        <w:pStyle w:val="Heading2"/>
      </w:pPr>
      <w:r>
        <w:rPr>
          <w:rFonts w:hint="eastAsia"/>
        </w:rPr>
        <w:t xml:space="preserve">四、轉移與處置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有害廢棄物只可交由持有危險廢物經營許可證的承辦商處置，採購部每年核查承辦商許可證有效性及經營範圍。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每次轉移執行電子轉移聯單，EHS</w:t>
      </w:r>
      <w:r>
        <w:t xml:space="preserve"> </w:t>
      </w:r>
      <w:r>
        <w:rPr>
          <w:rFonts w:hint="eastAsia"/>
        </w:rPr>
        <w:t xml:space="preserve">部核對品名、數量及接收單位後存檔。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金屬邊角料交金屬回收商回收，銅合金邊角料優先回售材料供應商；廢紙及水口料交回收商。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生活垃圾由園區環衛清運。</w:t>
      </w:r>
    </w:p>
    <w:bookmarkEnd w:id="12"/>
    <w:bookmarkStart w:id="13" w:name="五減量與回收"/>
    <w:p>
      <w:pPr>
        <w:pStyle w:val="Heading2"/>
      </w:pPr>
      <w:r>
        <w:rPr>
          <w:rFonts w:hint="eastAsia"/>
        </w:rPr>
        <w:t xml:space="preserve">五、減量與回收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模具中心透過排樣優化減少邊角料，2025</w:t>
      </w:r>
      <w:r>
        <w:t xml:space="preserve"> </w:t>
      </w:r>
      <w:r>
        <w:rPr>
          <w:rFonts w:hint="eastAsia"/>
        </w:rPr>
        <w:t xml:space="preserve">年主要產品排樣材料利用率由</w:t>
      </w:r>
      <w:r>
        <w:t xml:space="preserve"> 71% </w:t>
      </w:r>
      <w:r>
        <w:rPr>
          <w:rFonts w:hint="eastAsia"/>
        </w:rPr>
        <w:t xml:space="preserve">提升至</w:t>
      </w:r>
      <w:r>
        <w:t xml:space="preserve"> 74%。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切削液集中過濾循環使用，延長更換週期。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清洗工序改用水基清洗劑，減少溶劑類有害廢棄物。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與包裝供應商推行可回收周轉箱，減少一次性紙箱。</w:t>
      </w:r>
    </w:p>
    <w:bookmarkEnd w:id="13"/>
    <w:bookmarkStart w:id="14" w:name="六目標與檢討"/>
    <w:p>
      <w:pPr>
        <w:pStyle w:val="Heading2"/>
      </w:pPr>
      <w:r>
        <w:rPr>
          <w:rFonts w:hint="eastAsia"/>
        </w:rPr>
        <w:t xml:space="preserve">六、目標與檢討</w:t>
      </w:r>
    </w:p>
    <w:p>
      <w:pPr>
        <w:pStyle w:val="FirstParagraph"/>
      </w:pPr>
      <w:r>
        <w:rPr>
          <w:rFonts w:hint="eastAsia"/>
        </w:rPr>
        <w:t xml:space="preserve">年度目標：廢棄物回收率不低於</w:t>
      </w:r>
      <w:r>
        <w:t xml:space="preserve"> </w:t>
      </w:r>
      <w:r>
        <w:rPr>
          <w:rFonts w:hint="eastAsia"/>
        </w:rPr>
        <w:t xml:space="preserve">55%，有害廢棄物合規處置率</w:t>
      </w:r>
      <w:r>
        <w:t xml:space="preserve"> 100%。EHS </w:t>
      </w:r>
      <w:r>
        <w:rPr>
          <w:rFonts w:hint="eastAsia"/>
        </w:rPr>
        <w:t xml:space="preserve">部每季向</w:t>
      </w:r>
      <w:r>
        <w:t xml:space="preserve"> ESG </w:t>
      </w:r>
      <w:r>
        <w:rPr>
          <w:rFonts w:hint="eastAsia"/>
        </w:rPr>
        <w:t xml:space="preserve">工作小組報告廢棄物數據及目標進度。2025</w:t>
      </w:r>
      <w:r>
        <w:t xml:space="preserve"> </w:t>
      </w:r>
      <w:r>
        <w:rPr>
          <w:rFonts w:hint="eastAsia"/>
        </w:rPr>
        <w:t xml:space="preserve">年回收率</w:t>
      </w:r>
      <w:r>
        <w:t xml:space="preserve"> </w:t>
      </w:r>
      <w:r>
        <w:rPr>
          <w:rFonts w:hint="eastAsia"/>
        </w:rPr>
        <w:t xml:space="preserve">59.8%，合規處置率</w:t>
      </w:r>
      <w:r>
        <w:t xml:space="preserve"> 100%。</w:t>
      </w:r>
    </w:p>
    <w:bookmarkEnd w:id="14"/>
    <w:bookmarkStart w:id="15" w:name="七記錄"/>
    <w:p>
      <w:pPr>
        <w:pStyle w:val="Heading2"/>
      </w:pPr>
      <w:r>
        <w:rPr>
          <w:rFonts w:hint="eastAsia"/>
        </w:rPr>
        <w:t xml:space="preserve">七、記錄</w:t>
      </w:r>
    </w:p>
    <w:p>
      <w:pPr>
        <w:pStyle w:val="FirstParagraph"/>
      </w:pPr>
      <w:r>
        <w:rPr>
          <w:rFonts w:hint="eastAsia"/>
        </w:rPr>
        <w:t xml:space="preserve">轉移聯單、承辦商許可證副本、回收過磅單及月度台賬保存不少於</w:t>
      </w:r>
      <w:r>
        <w:t xml:space="preserve"> 5 </w:t>
      </w:r>
      <w:r>
        <w:rPr>
          <w:rFonts w:hint="eastAsia"/>
        </w:rPr>
        <w:t xml:space="preserve">年。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2026-09-05T07:38:03Z</dcterms:created>
  <dcterms:modified xsi:type="dcterms:W3CDTF">2026-09-05T07:38:03Z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