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氣候相關風險管理指引及-2025-年度評估"/>
    <w:p>
      <w:pPr>
        <w:pStyle w:val="Heading1"/>
      </w:pPr>
      <w:r>
        <w:rPr>
          <w:rFonts w:hint="eastAsia"/>
        </w:rPr>
        <w:t xml:space="preserve">氣候相關風險管理指引及</w:t>
      </w:r>
      <w:r>
        <w:t xml:space="preserve"> 2025 </w:t>
      </w:r>
      <w:r>
        <w:rPr>
          <w:rFonts w:hint="eastAsia"/>
        </w:rPr>
        <w:t xml:space="preserve">年度評估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：JL-EHS-005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：環境健康安全（EHS）部與財務部</w:t>
      </w:r>
      <w:r>
        <w:t xml:space="preserve"> </w:t>
      </w: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：ESG</w:t>
      </w:r>
      <w:r>
        <w:t xml:space="preserve"> </w:t>
      </w:r>
      <w:r>
        <w:rPr>
          <w:rFonts w:hint="eastAsia"/>
        </w:rPr>
        <w:t xml:space="preserve">工作小組（2025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月會議）；董事會於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月審議</w:t>
      </w:r>
    </w:p>
    <w:bookmarkStart w:id="9" w:name="一管治"/>
    <w:p>
      <w:pPr>
        <w:pStyle w:val="Heading2"/>
      </w:pPr>
      <w:r>
        <w:rPr>
          <w:rFonts w:hint="eastAsia"/>
        </w:rPr>
        <w:t xml:space="preserve">一、管治</w:t>
      </w:r>
    </w:p>
    <w:p>
      <w:pPr>
        <w:pStyle w:val="FirstParagraph"/>
      </w:pPr>
      <w:r>
        <w:rPr>
          <w:rFonts w:hint="eastAsia"/>
        </w:rPr>
        <w:t xml:space="preserve">董事會對氣候相關風險及機遇負最終監管責任，每年</w:t>
      </w:r>
      <w:r>
        <w:t xml:space="preserve"> 9 </w:t>
      </w:r>
      <w:r>
        <w:rPr>
          <w:rFonts w:hint="eastAsia"/>
        </w:rPr>
        <w:t xml:space="preserve">月會議檢討氣候目標進度及情景分析結果。ESG</w:t>
      </w:r>
      <w:r>
        <w:t xml:space="preserve"> </w:t>
      </w:r>
      <w:r>
        <w:rPr>
          <w:rFonts w:hint="eastAsia"/>
        </w:rPr>
        <w:t xml:space="preserve">工作小組召集人（執行董事兼財務總監）負責把氣候相關風險納入集團風險管理程序，EHS</w:t>
      </w:r>
      <w:r>
        <w:t xml:space="preserve"> </w:t>
      </w:r>
      <w:r>
        <w:rPr>
          <w:rFonts w:hint="eastAsia"/>
        </w:rPr>
        <w:t xml:space="preserve">部負責識別及評估物理風險與排放數據，財務部負責評估財務影響，採購部負責供應鏈氣候風險。</w:t>
      </w:r>
    </w:p>
    <w:bookmarkEnd w:id="9"/>
    <w:bookmarkStart w:id="13" w:name="二識別的風險與機遇"/>
    <w:p>
      <w:pPr>
        <w:pStyle w:val="Heading2"/>
      </w:pPr>
      <w:r>
        <w:rPr>
          <w:rFonts w:hint="eastAsia"/>
        </w:rPr>
        <w:t xml:space="preserve">二、識別的風險與機遇</w:t>
      </w:r>
    </w:p>
    <w:bookmarkStart w:id="10" w:name="物理風險"/>
    <w:p>
      <w:pPr>
        <w:pStyle w:val="Heading3"/>
      </w:pPr>
      <w:r>
        <w:rPr>
          <w:rFonts w:hint="eastAsia"/>
        </w:rPr>
        <w:t xml:space="preserve">物理風險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對業務的影響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極端天氣（颱風、暴雨、水浸）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短期至中期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東莞廠及香港辦公室位於華南沿岸，颱風季可能停產、物流延誤；2025</w:t>
            </w:r>
            <w:r>
              <w:t xml:space="preserve"> </w:t>
            </w:r>
            <w:r>
              <w:rPr>
                <w:rFonts w:hint="eastAsia"/>
              </w:rPr>
              <w:t xml:space="preserve">年因颱風預警停產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颱風應急預案、關鍵物料安全庫存</w:t>
            </w:r>
            <w:r>
              <w:t xml:space="preserve"> 7–10 </w:t>
            </w:r>
            <w:r>
              <w:rPr>
                <w:rFonts w:hint="eastAsia"/>
              </w:rPr>
              <w:t xml:space="preserve">天、屋頂及排水系統年檢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持續高溫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夏季空調負荷及電力成本上升，戶外及高溫工位僱員健康風險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車間降溫及輪班安排、空調系統節能改造</w:t>
            </w:r>
          </w:p>
        </w:tc>
      </w:tr>
    </w:tbl>
    <w:bookmarkEnd w:id="10"/>
    <w:bookmarkStart w:id="11" w:name="過渡風險"/>
    <w:p>
      <w:pPr>
        <w:pStyle w:val="Heading3"/>
      </w:pPr>
      <w:r>
        <w:rPr>
          <w:rFonts w:hint="eastAsia"/>
        </w:rPr>
        <w:t xml:space="preserve">過渡風險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對業務的影響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碳定價及排放監管政策變化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中期至長期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內地碳市場擴大覆蓋範圍或客戶所在市場實施碳邊境調節措施，增加合規及產品成本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排放數據體系、減排目標、關注政策動向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客戶及市場的低碳要求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短期至中期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消費電子及汽車客戶要求供應商提供產品碳足跡及減排承諾，未達要求或影響訂單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客戶碳數據問卷回覆機制、光伏及節能改造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能源價格波動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電價及天然氣價格上升直接影響製造成本（能源成本約佔營業成本</w:t>
            </w:r>
            <w:r>
              <w:t xml:space="preserve"> </w:t>
            </w:r>
            <w:r>
              <w:rPr>
                <w:rFonts w:hint="eastAsia"/>
              </w:rPr>
              <w:t xml:space="preserve">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能源效率改善、可再生能源</w:t>
            </w:r>
          </w:p>
        </w:tc>
      </w:tr>
    </w:tbl>
    <w:bookmarkEnd w:id="11"/>
    <w:bookmarkStart w:id="12" w:name="機遇"/>
    <w:p>
      <w:pPr>
        <w:pStyle w:val="Heading3"/>
      </w:pPr>
      <w:r>
        <w:rPr>
          <w:rFonts w:hint="eastAsia"/>
        </w:rPr>
        <w:t xml:space="preserve">機遇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能源及資源效率提升</w:t>
      </w:r>
      <w:r>
        <w:rPr>
          <w:rFonts w:hint="eastAsia"/>
        </w:rPr>
        <w:t xml:space="preserve">：節能改造</w:t>
      </w:r>
      <w:r>
        <w:t xml:space="preserve"> 2024–2025 </w:t>
      </w:r>
      <w:r>
        <w:rPr>
          <w:rFonts w:hint="eastAsia"/>
        </w:rPr>
        <w:t xml:space="preserve">年累計年節電約</w:t>
      </w:r>
      <w:r>
        <w:t xml:space="preserve"> 1,350 </w:t>
      </w:r>
      <w:r>
        <w:rPr>
          <w:rFonts w:hint="eastAsia"/>
        </w:rPr>
        <w:t xml:space="preserve">MWh，降低營運成本。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可再生能源使用</w:t>
      </w:r>
      <w:r>
        <w:rPr>
          <w:rFonts w:hint="eastAsia"/>
        </w:rPr>
        <w:t xml:space="preserve">：屋頂光伏自發自用降低電費及範圍</w:t>
      </w:r>
      <w:r>
        <w:t xml:space="preserve"> 2 </w:t>
      </w:r>
      <w:r>
        <w:rPr>
          <w:rFonts w:hint="eastAsia"/>
        </w:rPr>
        <w:t xml:space="preserve">排放，評估擴建及購買可再生能源電力證書。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低碳產品或服務</w:t>
      </w:r>
      <w:r>
        <w:rPr>
          <w:rFonts w:hint="eastAsia"/>
        </w:rPr>
        <w:t xml:space="preserve">：新能源汽車高壓連接器及輕量化沖壓件需求增長，2025</w:t>
      </w:r>
      <w:r>
        <w:t xml:space="preserve"> </w:t>
      </w:r>
      <w:r>
        <w:rPr>
          <w:rFonts w:hint="eastAsia"/>
        </w:rPr>
        <w:t xml:space="preserve">年新能源汽車零部件收入佔比升至</w:t>
      </w:r>
      <w:r>
        <w:t xml:space="preserve"> 33%。</w:t>
      </w:r>
    </w:p>
    <w:bookmarkEnd w:id="12"/>
    <w:bookmarkEnd w:id="13"/>
    <w:bookmarkStart w:id="14" w:name="三情景分析"/>
    <w:p>
      <w:pPr>
        <w:pStyle w:val="Heading2"/>
      </w:pPr>
      <w:r>
        <w:rPr>
          <w:rFonts w:hint="eastAsia"/>
        </w:rPr>
        <w:t xml:space="preserve">三、情景分析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年首次就上述風險進行定性情景分析，參考兩個情景：有序轉型（全球升溫控制在</w:t>
      </w:r>
      <w:r>
        <w:t xml:space="preserve"> 2°C </w:t>
      </w:r>
      <w:r>
        <w:rPr>
          <w:rFonts w:hint="eastAsia"/>
        </w:rPr>
        <w:t xml:space="preserve">以內、碳價逐步上升）及高排放（升溫</w:t>
      </w:r>
      <w:r>
        <w:t xml:space="preserve"> </w:t>
      </w:r>
      <w:r>
        <w:rPr>
          <w:rFonts w:hint="eastAsia"/>
        </w:rPr>
        <w:t xml:space="preserve">4°C、物理風險加劇）。分析結論：在有序轉型情景下，主要影響為客戶低碳要求及碳成本上升，集團現有減排路徑基本可應對；在高排放情景下，颱風及水浸對東莞廠的營運中斷風險上升，需加強廠區防洪及供應鏈韌性。分析未量化財務影響，集團計劃於</w:t>
      </w:r>
      <w:r>
        <w:t xml:space="preserve"> 2026 </w:t>
      </w:r>
      <w:r>
        <w:rPr>
          <w:rFonts w:hint="eastAsia"/>
        </w:rPr>
        <w:t xml:space="preserve">年就電力成本及碳價敏感度作定量測算。</w:t>
      </w:r>
    </w:p>
    <w:bookmarkEnd w:id="14"/>
    <w:bookmarkStart w:id="15" w:name="四過渡計劃與資源安排"/>
    <w:p>
      <w:pPr>
        <w:pStyle w:val="Heading2"/>
      </w:pPr>
      <w:r>
        <w:rPr>
          <w:rFonts w:hint="eastAsia"/>
        </w:rPr>
        <w:t xml:space="preserve">四、過渡計劃與資源安排</w:t>
      </w:r>
    </w:p>
    <w:p>
      <w:pPr>
        <w:pStyle w:val="FirstParagraph"/>
      </w:pPr>
      <w:r>
        <w:rPr>
          <w:rFonts w:hint="eastAsia"/>
        </w:rPr>
        <w:t xml:space="preserve">集團未制訂獨立的過渡計劃文件；氣候相關行動納入年度資本開支計劃：2025</w:t>
      </w:r>
      <w:r>
        <w:t xml:space="preserve"> </w:t>
      </w:r>
      <w:r>
        <w:rPr>
          <w:rFonts w:hint="eastAsia"/>
        </w:rPr>
        <w:t xml:space="preserve">年投入約</w:t>
      </w:r>
      <w:r>
        <w:t xml:space="preserve"> 3.2 </w:t>
      </w:r>
      <w:r>
        <w:rPr>
          <w:rFonts w:hint="eastAsia"/>
        </w:rPr>
        <w:t xml:space="preserve">百萬港元於空壓機及冷卻塔節能改造，2026</w:t>
      </w:r>
      <w:r>
        <w:t xml:space="preserve"> </w:t>
      </w:r>
      <w:r>
        <w:rPr>
          <w:rFonts w:hint="eastAsia"/>
        </w:rPr>
        <w:t xml:space="preserve">年預算約</w:t>
      </w:r>
      <w:r>
        <w:t xml:space="preserve"> 4.5 </w:t>
      </w:r>
      <w:r>
        <w:rPr>
          <w:rFonts w:hint="eastAsia"/>
        </w:rPr>
        <w:t xml:space="preserve">百萬港元用於評估中的倉庫屋頂光伏擴建。集團未設內部碳價。</w:t>
      </w:r>
    </w:p>
    <w:bookmarkEnd w:id="15"/>
    <w:bookmarkStart w:id="16" w:name="五指標及目標"/>
    <w:p>
      <w:pPr>
        <w:pStyle w:val="Heading2"/>
      </w:pPr>
      <w:r>
        <w:rPr>
          <w:rFonts w:hint="eastAsia"/>
        </w:rPr>
        <w:t xml:space="preserve">五、指標及目標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範圍</w:t>
            </w:r>
            <w:r>
              <w:t xml:space="preserve"> 1 </w:t>
            </w:r>
            <w:r>
              <w:rPr>
                <w:rFonts w:hint="eastAsia"/>
              </w:rPr>
              <w:t xml:space="preserve">及範圍</w:t>
            </w:r>
            <w:r>
              <w:t xml:space="preserve"> 2 </w:t>
            </w:r>
            <w:r>
              <w:rPr>
                <w:rFonts w:hint="eastAsia"/>
              </w:rPr>
              <w:t xml:space="preserve">排放（tCO₂e）</w:t>
            </w:r>
          </w:p>
        </w:tc>
        <w:tc>
          <w:tcPr/>
          <w:p>
            <w:pPr>
              <w:pStyle w:val="Compact"/>
            </w:pPr>
            <w:r>
              <w:t xml:space="preserve">9,430</w:t>
            </w:r>
          </w:p>
        </w:tc>
        <w:tc>
          <w:tcPr/>
          <w:p>
            <w:pPr>
              <w:pStyle w:val="Compact"/>
            </w:pPr>
            <w:r>
              <w:t xml:space="preserve">8,070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排放密度（tCO₂e／百萬港元）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2030 </w:t>
            </w:r>
            <w:r>
              <w:rPr>
                <w:rFonts w:hint="eastAsia"/>
              </w:rPr>
              <w:t xml:space="preserve">年較</w:t>
            </w:r>
            <w:r>
              <w:t xml:space="preserve"> 2023 </w:t>
            </w:r>
            <w:r>
              <w:rPr>
                <w:rFonts w:hint="eastAsia"/>
              </w:rPr>
              <w:t xml:space="preserve">年下降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能源消耗密度（MWh／百萬港元）</w:t>
            </w:r>
          </w:p>
        </w:tc>
        <w:tc>
          <w:tcPr/>
          <w:p>
            <w:pPr>
              <w:pStyle w:val="Compact"/>
            </w:pPr>
            <w:r>
              <w:t xml:space="preserve">44.8</w:t>
            </w:r>
          </w:p>
        </w:tc>
        <w:tc>
          <w:tcPr/>
          <w:p>
            <w:pPr>
              <w:pStyle w:val="Compact"/>
            </w:pPr>
            <w:r>
              <w:t xml:space="preserve">38.9</w:t>
            </w:r>
          </w:p>
        </w:tc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年較</w:t>
            </w:r>
            <w:r>
              <w:t xml:space="preserve"> 2023 </w:t>
            </w:r>
            <w:r>
              <w:rPr>
                <w:rFonts w:hint="eastAsia"/>
              </w:rPr>
              <w:t xml:space="preserve">年下降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光伏自發自用電力佔電力消耗比例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範圍</w:t>
      </w:r>
      <w:r>
        <w:t xml:space="preserve"> 3 </w:t>
      </w:r>
      <w:r>
        <w:rPr>
          <w:rFonts w:hint="eastAsia"/>
        </w:rPr>
        <w:t xml:space="preserve">排放口徑正在建立，暫不設目標。目標為絕對密度目標，不使用碳抵銷。</w:t>
      </w:r>
    </w:p>
    <w:bookmarkEnd w:id="16"/>
    <w:bookmarkStart w:id="17" w:name="六風險管理程序"/>
    <w:p>
      <w:pPr>
        <w:pStyle w:val="Heading2"/>
      </w:pPr>
      <w:r>
        <w:rPr>
          <w:rFonts w:hint="eastAsia"/>
        </w:rPr>
        <w:t xml:space="preserve">六、風險管理程序</w:t>
      </w:r>
    </w:p>
    <w:p>
      <w:pPr>
        <w:pStyle w:val="FirstParagraph"/>
      </w:pPr>
      <w:r>
        <w:rPr>
          <w:rFonts w:hint="eastAsia"/>
        </w:rPr>
        <w:t xml:space="preserve">氣候相關風險每年由</w:t>
      </w:r>
      <w:r>
        <w:t xml:space="preserve"> EHS </w:t>
      </w:r>
      <w:r>
        <w:rPr>
          <w:rFonts w:hint="eastAsia"/>
        </w:rPr>
        <w:t xml:space="preserve">部與財務部聯合評估一次，評估結果納入集團年度風險登記冊，由審核委員會於年度風險管理檢討中審閱。重大變化（如新的碳監管要求或客戶強制減排條款）由</w:t>
      </w:r>
      <w:r>
        <w:t xml:space="preserve"> ESG </w:t>
      </w:r>
      <w:r>
        <w:rPr>
          <w:rFonts w:hint="eastAsia"/>
        </w:rPr>
        <w:t xml:space="preserve">工作小組在季度會議中即時評估。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