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環境管理制度"/>
    <w:p>
      <w:pPr>
        <w:pStyle w:val="Heading1"/>
      </w:pPr>
      <w:r>
        <w:rPr>
          <w:rFonts w:hint="eastAsia"/>
        </w:rPr>
        <w:t xml:space="preserve">環境管理制度</w:t>
      </w:r>
    </w:p>
    <w:p>
      <w:pPr>
        <w:pStyle w:val="FirstParagraph"/>
      </w:pPr>
      <w:r>
        <w:rPr>
          <w:rFonts w:hint="eastAsia"/>
          <w:b/>
          <w:bCs/>
        </w:rPr>
        <w:t xml:space="preserve">文件編號</w:t>
      </w:r>
      <w:r>
        <w:rPr>
          <w:rFonts w:hint="eastAsia"/>
        </w:rPr>
        <w:t xml:space="preserve">：JL-EHS-001</w:t>
      </w:r>
      <w:r>
        <w:t xml:space="preserve"> </w:t>
      </w:r>
      <w:r>
        <w:rPr>
          <w:rFonts w:hint="eastAsia"/>
          <w:b/>
          <w:bCs/>
        </w:rPr>
        <w:t xml:space="preserve">版本</w:t>
      </w:r>
      <w:r>
        <w:rPr>
          <w:rFonts w:hint="eastAsia"/>
        </w:rPr>
        <w:t xml:space="preserve">：第</w:t>
      </w:r>
      <w:r>
        <w:t xml:space="preserve"> 5 </w:t>
      </w:r>
      <w:r>
        <w:rPr>
          <w:rFonts w:hint="eastAsia"/>
        </w:rPr>
        <w:t xml:space="preserve">版</w:t>
      </w:r>
      <w:r>
        <w:t xml:space="preserve"> </w:t>
      </w:r>
      <w:r>
        <w:rPr>
          <w:rFonts w:hint="eastAsia"/>
          <w:b/>
          <w:bCs/>
        </w:rPr>
        <w:t xml:space="preserve">修訂日期</w:t>
      </w:r>
      <w:r>
        <w:rPr>
          <w:rFonts w:hint="eastAsia"/>
        </w:rPr>
        <w:t xml:space="preserve">：2025</w:t>
      </w:r>
      <w:r>
        <w:t xml:space="preserve"> </w:t>
      </w:r>
      <w:r>
        <w:rPr>
          <w:rFonts w:hint="eastAsia"/>
        </w:rPr>
        <w:t xml:space="preserve">年</w:t>
      </w:r>
      <w:r>
        <w:t xml:space="preserve"> 3 </w:t>
      </w:r>
      <w:r>
        <w:rPr>
          <w:rFonts w:hint="eastAsia"/>
        </w:rPr>
        <w:t xml:space="preserve">月</w:t>
      </w:r>
      <w:r>
        <w:t xml:space="preserve"> </w:t>
      </w:r>
      <w:r>
        <w:rPr>
          <w:rFonts w:hint="eastAsia"/>
          <w:b/>
          <w:bCs/>
        </w:rPr>
        <w:t xml:space="preserve">發布部門</w:t>
      </w:r>
      <w:r>
        <w:rPr>
          <w:rFonts w:hint="eastAsia"/>
        </w:rPr>
        <w:t xml:space="preserve">：環境健康安全（EHS）部</w:t>
      </w:r>
      <w:r>
        <w:t xml:space="preserve"> </w:t>
      </w:r>
      <w:r>
        <w:rPr>
          <w:rFonts w:hint="eastAsia"/>
          <w:b/>
          <w:bCs/>
        </w:rPr>
        <w:t xml:space="preserve">簽核人</w:t>
      </w:r>
      <w:r>
        <w:rPr>
          <w:rFonts w:hint="eastAsia"/>
        </w:rPr>
        <w:t xml:space="preserve">：東莞廠總經理</w:t>
      </w:r>
      <w:r>
        <w:t xml:space="preserve"> </w:t>
      </w:r>
      <w:r>
        <w:rPr>
          <w:rFonts w:hint="eastAsia"/>
        </w:rPr>
        <w:t xml:space="preserve">周啟明</w:t>
      </w:r>
    </w:p>
    <w:bookmarkStart w:id="13" w:name="第一章-總則"/>
    <w:p>
      <w:pPr>
        <w:pStyle w:val="Heading2"/>
      </w:pPr>
      <w:r>
        <w:rPr>
          <w:rFonts w:hint="eastAsia"/>
        </w:rPr>
        <w:t xml:space="preserve">第一章</w:t>
      </w:r>
      <w:r>
        <w:t xml:space="preserve"> </w:t>
      </w:r>
      <w:r>
        <w:rPr>
          <w:rFonts w:hint="eastAsia"/>
        </w:rPr>
        <w:t xml:space="preserve">總則</w:t>
      </w:r>
    </w:p>
    <w:bookmarkStart w:id="9" w:name="目的"/>
    <w:p>
      <w:pPr>
        <w:pStyle w:val="Heading3"/>
      </w:pPr>
      <w:r>
        <w:t xml:space="preserve">1.1 </w:t>
      </w:r>
      <w:r>
        <w:rPr>
          <w:rFonts w:hint="eastAsia"/>
        </w:rPr>
        <w:t xml:space="preserve">目的</w:t>
      </w:r>
    </w:p>
    <w:p>
      <w:pPr>
        <w:pStyle w:val="FirstParagraph"/>
      </w:pPr>
      <w:r>
        <w:rPr>
          <w:rFonts w:hint="eastAsia"/>
        </w:rPr>
        <w:t xml:space="preserve">規範晉澧精密工業控股有限公司及其附屬公司（「集團」）在環境保護方面的管理責任、程序及要求，確保生產營運符合適用環境法規，持續減少排放、廢棄物及資源消耗對環境的影響。</w:t>
      </w:r>
    </w:p>
    <w:bookmarkEnd w:id="9"/>
    <w:bookmarkStart w:id="10" w:name="適用範圍"/>
    <w:p>
      <w:pPr>
        <w:pStyle w:val="Heading3"/>
      </w:pPr>
      <w:r>
        <w:t xml:space="preserve">1.2 </w:t>
      </w:r>
      <w:r>
        <w:rPr>
          <w:rFonts w:hint="eastAsia"/>
        </w:rPr>
        <w:t xml:space="preserve">適用範圍</w:t>
      </w:r>
    </w:p>
    <w:p>
      <w:pPr>
        <w:pStyle w:val="FirstParagraph"/>
      </w:pPr>
      <w:r>
        <w:rPr>
          <w:rFonts w:hint="eastAsia"/>
        </w:rPr>
        <w:t xml:space="preserve">本制度適用於集團全部營運地點，重點為東莞晉澧精密電子有限公司廠區（「東莞廠」）；香港總部辦公室適用第四章的辦公節能及廢紙回收要求。</w:t>
      </w:r>
    </w:p>
    <w:bookmarkEnd w:id="10"/>
    <w:bookmarkStart w:id="11" w:name="法規依據"/>
    <w:p>
      <w:pPr>
        <w:pStyle w:val="Heading3"/>
      </w:pPr>
      <w:r>
        <w:t xml:space="preserve">1.3 </w:t>
      </w:r>
      <w:r>
        <w:rPr>
          <w:rFonts w:hint="eastAsia"/>
        </w:rPr>
        <w:t xml:space="preserve">法規依據</w:t>
      </w:r>
    </w:p>
    <w:p>
      <w:pPr>
        <w:pStyle w:val="FirstParagraph"/>
      </w:pPr>
      <w:r>
        <w:rPr>
          <w:rFonts w:hint="eastAsia"/>
        </w:rPr>
        <w:t xml:space="preserve">東莞廠遵守《中華人民共和國環境保護法》《大氣污染防治法》《水污染防治法》《固體廢物污染環境防治法》及廣東省、東莞市相關地方規定，持有排污許可證並按證載要求監測及申報。香港辦公室遵守《廢物處置條例》及《空氣污染管制條例》的一般要求。</w:t>
      </w:r>
    </w:p>
    <w:bookmarkEnd w:id="11"/>
    <w:bookmarkStart w:id="12" w:name="環境管理體系"/>
    <w:p>
      <w:pPr>
        <w:pStyle w:val="Heading3"/>
      </w:pPr>
      <w:r>
        <w:t xml:space="preserve">1.4 </w:t>
      </w:r>
      <w:r>
        <w:rPr>
          <w:rFonts w:hint="eastAsia"/>
        </w:rPr>
        <w:t xml:space="preserve">環境管理體系</w:t>
      </w:r>
    </w:p>
    <w:p>
      <w:pPr>
        <w:pStyle w:val="FirstParagraph"/>
      </w:pPr>
      <w:r>
        <w:rPr>
          <w:rFonts w:hint="eastAsia"/>
        </w:rPr>
        <w:t xml:space="preserve">集團自</w:t>
      </w:r>
      <w:r>
        <w:t xml:space="preserve"> 2012 </w:t>
      </w:r>
      <w:r>
        <w:rPr>
          <w:rFonts w:hint="eastAsia"/>
        </w:rPr>
        <w:t xml:space="preserve">年起建立並維持</w:t>
      </w:r>
      <w:r>
        <w:t xml:space="preserve"> ISO 14001 </w:t>
      </w:r>
      <w:r>
        <w:rPr>
          <w:rFonts w:hint="eastAsia"/>
        </w:rPr>
        <w:t xml:space="preserve">環境管理體系認證，覆蓋東莞廠全部生產活動；體系每年接受一次外部監督審核及兩次內部審核。</w:t>
      </w:r>
    </w:p>
    <w:bookmarkEnd w:id="12"/>
    <w:bookmarkEnd w:id="13"/>
    <w:bookmarkStart w:id="14" w:name="第二章-管理責任"/>
    <w:p>
      <w:pPr>
        <w:pStyle w:val="Heading2"/>
      </w:pPr>
      <w:r>
        <w:rPr>
          <w:rFonts w:hint="eastAsia"/>
        </w:rPr>
        <w:t xml:space="preserve">第二章</w:t>
      </w:r>
      <w:r>
        <w:t xml:space="preserve"> </w:t>
      </w:r>
      <w:r>
        <w:rPr>
          <w:rFonts w:hint="eastAsia"/>
        </w:rPr>
        <w:t xml:space="preserve">管理責任</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層級</w:t>
            </w:r>
          </w:p>
        </w:tc>
        <w:tc>
          <w:tcPr/>
          <w:p>
            <w:pPr>
              <w:pStyle w:val="Compact"/>
            </w:pPr>
            <w:r>
              <w:rPr>
                <w:rFonts w:hint="eastAsia"/>
              </w:rPr>
              <w:t xml:space="preserve">責任</w:t>
            </w:r>
          </w:p>
        </w:tc>
      </w:tr>
      <w:tr>
        <w:tc>
          <w:tcPr/>
          <w:p>
            <w:pPr>
              <w:pStyle w:val="Compact"/>
            </w:pPr>
            <w:r>
              <w:rPr>
                <w:rFonts w:hint="eastAsia"/>
              </w:rPr>
              <w:t xml:space="preserve">董事會</w:t>
            </w:r>
          </w:p>
        </w:tc>
        <w:tc>
          <w:tcPr/>
          <w:p>
            <w:pPr>
              <w:pStyle w:val="Compact"/>
            </w:pPr>
            <w:r>
              <w:rPr>
                <w:rFonts w:hint="eastAsia"/>
              </w:rPr>
              <w:t xml:space="preserve">審批環境方針及目標，每半年檢討進度</w:t>
            </w:r>
          </w:p>
        </w:tc>
      </w:tr>
      <w:tr>
        <w:tc>
          <w:tcPr/>
          <w:p>
            <w:pPr>
              <w:pStyle w:val="Compact"/>
            </w:pPr>
            <w:r>
              <w:t xml:space="preserve">ESG </w:t>
            </w:r>
            <w:r>
              <w:rPr>
                <w:rFonts w:hint="eastAsia"/>
              </w:rPr>
              <w:t xml:space="preserve">工作小組</w:t>
            </w:r>
          </w:p>
        </w:tc>
        <w:tc>
          <w:tcPr/>
          <w:p>
            <w:pPr>
              <w:pStyle w:val="Compact"/>
            </w:pPr>
            <w:r>
              <w:rPr>
                <w:rFonts w:hint="eastAsia"/>
              </w:rPr>
              <w:t xml:space="preserve">統籌環境目標分解、數據匯總及對外披露</w:t>
            </w:r>
          </w:p>
        </w:tc>
      </w:tr>
      <w:tr>
        <w:tc>
          <w:tcPr/>
          <w:p>
            <w:pPr>
              <w:pStyle w:val="Compact"/>
            </w:pPr>
            <w:r>
              <w:rPr>
                <w:rFonts w:hint="eastAsia"/>
              </w:rPr>
              <w:t xml:space="preserve">東莞廠總經理</w:t>
            </w:r>
          </w:p>
        </w:tc>
        <w:tc>
          <w:tcPr/>
          <w:p>
            <w:pPr>
              <w:pStyle w:val="Compact"/>
            </w:pPr>
            <w:r>
              <w:rPr>
                <w:rFonts w:hint="eastAsia"/>
              </w:rPr>
              <w:t xml:space="preserve">對廠區環境合規負總責，批准環境投入</w:t>
            </w:r>
          </w:p>
        </w:tc>
      </w:tr>
      <w:tr>
        <w:tc>
          <w:tcPr/>
          <w:p>
            <w:pPr>
              <w:pStyle w:val="Compact"/>
            </w:pPr>
            <w:r>
              <w:t xml:space="preserve">EHS </w:t>
            </w:r>
            <w:r>
              <w:rPr>
                <w:rFonts w:hint="eastAsia"/>
              </w:rPr>
              <w:t xml:space="preserve">主管（羅子軒）</w:t>
            </w:r>
          </w:p>
        </w:tc>
        <w:tc>
          <w:tcPr/>
          <w:p>
            <w:pPr>
              <w:pStyle w:val="Compact"/>
            </w:pPr>
            <w:r>
              <w:rPr>
                <w:rFonts w:hint="eastAsia"/>
              </w:rPr>
              <w:t xml:space="preserve">制度執行、排污許可管理、監測、應急、數據複核</w:t>
            </w:r>
          </w:p>
        </w:tc>
      </w:tr>
      <w:tr>
        <w:tc>
          <w:tcPr/>
          <w:p>
            <w:pPr>
              <w:pStyle w:val="Compact"/>
            </w:pPr>
            <w:r>
              <w:rPr>
                <w:rFonts w:hint="eastAsia"/>
              </w:rPr>
              <w:t xml:space="preserve">生產部</w:t>
            </w:r>
          </w:p>
        </w:tc>
        <w:tc>
          <w:tcPr/>
          <w:p>
            <w:pPr>
              <w:pStyle w:val="Compact"/>
            </w:pPr>
            <w:r>
              <w:rPr>
                <w:rFonts w:hint="eastAsia"/>
              </w:rPr>
              <w:t xml:space="preserve">工序污染預防、設備維護、能耗與物料消耗控制</w:t>
            </w:r>
          </w:p>
        </w:tc>
      </w:tr>
      <w:tr>
        <w:tc>
          <w:tcPr/>
          <w:p>
            <w:pPr>
              <w:pStyle w:val="Compact"/>
            </w:pPr>
            <w:r>
              <w:rPr>
                <w:rFonts w:hint="eastAsia"/>
              </w:rPr>
              <w:t xml:space="preserve">採購部</w:t>
            </w:r>
          </w:p>
        </w:tc>
        <w:tc>
          <w:tcPr/>
          <w:p>
            <w:pPr>
              <w:pStyle w:val="Compact"/>
            </w:pPr>
            <w:r>
              <w:rPr>
                <w:rFonts w:hint="eastAsia"/>
              </w:rPr>
              <w:t xml:space="preserve">化學品及物料的環保準入，供應商環境要求</w:t>
            </w:r>
          </w:p>
        </w:tc>
      </w:tr>
      <w:tr>
        <w:tc>
          <w:tcPr/>
          <w:p>
            <w:pPr>
              <w:pStyle w:val="Compact"/>
            </w:pPr>
            <w:r>
              <w:rPr>
                <w:rFonts w:hint="eastAsia"/>
              </w:rPr>
              <w:t xml:space="preserve">行政部</w:t>
            </w:r>
          </w:p>
        </w:tc>
        <w:tc>
          <w:tcPr/>
          <w:p>
            <w:pPr>
              <w:pStyle w:val="Compact"/>
            </w:pPr>
            <w:r>
              <w:rPr>
                <w:rFonts w:hint="eastAsia"/>
              </w:rPr>
              <w:t xml:space="preserve">香港辦公室及廠區生活區的節能節水、廢物分類</w:t>
            </w:r>
          </w:p>
        </w:tc>
      </w:tr>
    </w:tbl>
    <w:bookmarkEnd w:id="14"/>
    <w:bookmarkStart w:id="20" w:name="第三章-主要環境因素與控制"/>
    <w:p>
      <w:pPr>
        <w:pStyle w:val="Heading2"/>
      </w:pPr>
      <w:r>
        <w:rPr>
          <w:rFonts w:hint="eastAsia"/>
        </w:rPr>
        <w:t xml:space="preserve">第三章</w:t>
      </w:r>
      <w:r>
        <w:t xml:space="preserve"> </w:t>
      </w:r>
      <w:r>
        <w:rPr>
          <w:rFonts w:hint="eastAsia"/>
        </w:rPr>
        <w:t xml:space="preserve">主要環境因素與控制</w:t>
      </w:r>
    </w:p>
    <w:bookmarkStart w:id="15" w:name="廢氣"/>
    <w:p>
      <w:pPr>
        <w:pStyle w:val="Heading3"/>
      </w:pPr>
      <w:r>
        <w:t xml:space="preserve">3.1 </w:t>
      </w:r>
      <w:r>
        <w:rPr>
          <w:rFonts w:hint="eastAsia"/>
        </w:rPr>
        <w:t xml:space="preserve">廢氣</w:t>
      </w:r>
    </w:p>
    <w:p>
      <w:pPr>
        <w:pStyle w:val="FirstParagraph"/>
      </w:pPr>
      <w:r>
        <w:rPr>
          <w:rFonts w:hint="eastAsia"/>
        </w:rPr>
        <w:t xml:space="preserve">主要來源為天然氣退火及熱處理爐燃燒排放（氮氧化物、顆粒物）、清洗及脫脂工序的有機溶劑揮發（揮發性有機化合物），以及公司車輛。控制措施：熱處理爐採用低氮燃燒器並每年檢測；清洗工序於</w:t>
      </w:r>
      <w:r>
        <w:t xml:space="preserve"> 2024 </w:t>
      </w:r>
      <w:r>
        <w:rPr>
          <w:rFonts w:hint="eastAsia"/>
        </w:rPr>
        <w:t xml:space="preserve">年改用低揮發水基清洗劑，餘下溶劑工位設活性炭吸附裝置，活性炭每季更換並作為有害廢棄物處置；廠區廢氣每半年委託第三方監測。</w:t>
      </w:r>
    </w:p>
    <w:bookmarkEnd w:id="15"/>
    <w:bookmarkStart w:id="16" w:name="廢水"/>
    <w:p>
      <w:pPr>
        <w:pStyle w:val="Heading3"/>
      </w:pPr>
      <w:r>
        <w:t xml:space="preserve">3.2 </w:t>
      </w:r>
      <w:r>
        <w:rPr>
          <w:rFonts w:hint="eastAsia"/>
        </w:rPr>
        <w:t xml:space="preserve">廢水</w:t>
      </w:r>
    </w:p>
    <w:p>
      <w:pPr>
        <w:pStyle w:val="FirstParagraph"/>
      </w:pPr>
      <w:r>
        <w:rPr>
          <w:rFonts w:hint="eastAsia"/>
        </w:rPr>
        <w:t xml:space="preserve">廠區廢水包括模具清洗及地面沖洗的含油廢水與生活污水。含油廢水經隔油及氣浮預處理後與生活污水一併排入松山湖園區污水管網，由園區污水處理廠集中處理。排放口安裝流量計，每季委託第三方檢測化學需氧量、懸浮物、石油類及</w:t>
      </w:r>
      <w:r>
        <w:t xml:space="preserve"> </w:t>
      </w:r>
      <w:r>
        <w:rPr>
          <w:rFonts w:hint="eastAsia"/>
        </w:rPr>
        <w:t xml:space="preserve">pH。電鍍工序全部外協，廠內無電鍍廢水。</w:t>
      </w:r>
    </w:p>
    <w:bookmarkEnd w:id="16"/>
    <w:bookmarkStart w:id="17" w:name="廢棄物"/>
    <w:p>
      <w:pPr>
        <w:pStyle w:val="Heading3"/>
      </w:pPr>
      <w:r>
        <w:t xml:space="preserve">3.3 </w:t>
      </w:r>
      <w:r>
        <w:rPr>
          <w:rFonts w:hint="eastAsia"/>
        </w:rPr>
        <w:t xml:space="preserve">廢棄物</w:t>
      </w:r>
    </w:p>
    <w:p>
      <w:pPr>
        <w:pStyle w:val="FirstParagraph"/>
      </w:pPr>
      <w:r>
        <w:rPr>
          <w:rFonts w:hint="eastAsia"/>
        </w:rPr>
        <w:t xml:space="preserve">按《廢棄物管理程序》（JL-EHS-003）分類收集：有害廢棄物（廢切削液及廢油、含油抹布及手套、廢活性炭、廢化學品包裝）交由持危險廢物經營許可證的承辦商處置並執行轉移聯單；無害廢棄物中金屬邊角料、廢紙及廢塑膠交回收商回收，生活垃圾由園區環衛清運。</w:t>
      </w:r>
    </w:p>
    <w:bookmarkEnd w:id="17"/>
    <w:bookmarkStart w:id="18" w:name="噪音"/>
    <w:p>
      <w:pPr>
        <w:pStyle w:val="Heading3"/>
      </w:pPr>
      <w:r>
        <w:t xml:space="preserve">3.4 </w:t>
      </w:r>
      <w:r>
        <w:rPr>
          <w:rFonts w:hint="eastAsia"/>
        </w:rPr>
        <w:t xml:space="preserve">噪音</w:t>
      </w:r>
    </w:p>
    <w:p>
      <w:pPr>
        <w:pStyle w:val="FirstParagraph"/>
      </w:pPr>
      <w:r>
        <w:rPr>
          <w:rFonts w:hint="eastAsia"/>
        </w:rPr>
        <w:t xml:space="preserve">高速沖床為主要噪音源。沖壓車間採用隔聲間及設備減振基座，廠界噪音每年檢測一次，2025</w:t>
      </w:r>
      <w:r>
        <w:t xml:space="preserve"> </w:t>
      </w:r>
      <w:r>
        <w:rPr>
          <w:rFonts w:hint="eastAsia"/>
        </w:rPr>
        <w:t xml:space="preserve">年檢測結果符合工業區標準。</w:t>
      </w:r>
    </w:p>
    <w:bookmarkEnd w:id="18"/>
    <w:bookmarkStart w:id="19" w:name="資源消耗"/>
    <w:p>
      <w:pPr>
        <w:pStyle w:val="Heading3"/>
      </w:pPr>
      <w:r>
        <w:t xml:space="preserve">3.5 </w:t>
      </w:r>
      <w:r>
        <w:rPr>
          <w:rFonts w:hint="eastAsia"/>
        </w:rPr>
        <w:t xml:space="preserve">資源消耗</w:t>
      </w:r>
    </w:p>
    <w:p>
      <w:pPr>
        <w:pStyle w:val="FirstParagraph"/>
      </w:pPr>
      <w:r>
        <w:rPr>
          <w:rFonts w:hint="eastAsia"/>
        </w:rPr>
        <w:t xml:space="preserve">電力、天然氣、水及包裝材料的消耗按《能源管理辦法》（JL-EHS-002）及《包裝材料管理指引》控制，數據按月統計。</w:t>
      </w:r>
    </w:p>
    <w:bookmarkEnd w:id="19"/>
    <w:bookmarkEnd w:id="20"/>
    <w:bookmarkStart w:id="21" w:name="第四章-辦公室環境要求"/>
    <w:p>
      <w:pPr>
        <w:pStyle w:val="Heading2"/>
      </w:pPr>
      <w:r>
        <w:rPr>
          <w:rFonts w:hint="eastAsia"/>
        </w:rPr>
        <w:t xml:space="preserve">第四章</w:t>
      </w:r>
      <w:r>
        <w:t xml:space="preserve"> </w:t>
      </w:r>
      <w:r>
        <w:rPr>
          <w:rFonts w:hint="eastAsia"/>
        </w:rPr>
        <w:t xml:space="preserve">辦公室環境要求</w:t>
      </w:r>
    </w:p>
    <w:p>
      <w:pPr>
        <w:pStyle w:val="FirstParagraph"/>
      </w:pPr>
      <w:r>
        <w:rPr>
          <w:rFonts w:hint="eastAsia"/>
        </w:rPr>
        <w:t xml:space="preserve">香港辦公室及東莞廠辦公區執行空調溫度不低於</w:t>
      </w:r>
      <w:r>
        <w:t xml:space="preserve"> </w:t>
      </w:r>
      <w:r>
        <w:rPr>
          <w:rFonts w:hint="eastAsia"/>
        </w:rPr>
        <w:t xml:space="preserve">24°C、離座關燈關機、雙面打印及廢紙回收要求；行政部每季公佈用電及用紙數據。</w:t>
      </w:r>
    </w:p>
    <w:bookmarkEnd w:id="21"/>
    <w:bookmarkStart w:id="22" w:name="第五章-監測記錄與合規檢查"/>
    <w:p>
      <w:pPr>
        <w:pStyle w:val="Heading2"/>
      </w:pPr>
      <w:r>
        <w:rPr>
          <w:rFonts w:hint="eastAsia"/>
        </w:rPr>
        <w:t xml:space="preserve">第五章</w:t>
      </w:r>
      <w:r>
        <w:t xml:space="preserve"> </w:t>
      </w:r>
      <w:r>
        <w:rPr>
          <w:rFonts w:hint="eastAsia"/>
        </w:rPr>
        <w:t xml:space="preserve">監測、記錄與合規檢查</w:t>
      </w:r>
    </w:p>
    <w:p>
      <w:pPr>
        <w:pStyle w:val="Compact"/>
        <w:numPr>
          <w:ilvl w:val="0"/>
          <w:numId w:val="1001"/>
        </w:numPr>
      </w:pPr>
      <w:r>
        <w:t xml:space="preserve">EHS </w:t>
      </w:r>
      <w:r>
        <w:rPr>
          <w:rFonts w:hint="eastAsia"/>
        </w:rPr>
        <w:t xml:space="preserve">部每月匯總能源、水、廢棄物數據，每季複核後提交</w:t>
      </w:r>
      <w:r>
        <w:t xml:space="preserve"> ESG </w:t>
      </w:r>
      <w:r>
        <w:rPr>
          <w:rFonts w:hint="eastAsia"/>
        </w:rPr>
        <w:t xml:space="preserve">工作小組。</w:t>
      </w:r>
    </w:p>
    <w:p>
      <w:pPr>
        <w:pStyle w:val="Compact"/>
        <w:numPr>
          <w:ilvl w:val="0"/>
          <w:numId w:val="1001"/>
        </w:numPr>
      </w:pPr>
      <w:r>
        <w:rPr>
          <w:rFonts w:hint="eastAsia"/>
        </w:rPr>
        <w:t xml:space="preserve">第三方監測報告、轉移聯單及排污許可證執行報告保存不少於</w:t>
      </w:r>
      <w:r>
        <w:t xml:space="preserve"> 5 </w:t>
      </w:r>
      <w:r>
        <w:rPr>
          <w:rFonts w:hint="eastAsia"/>
        </w:rPr>
        <w:t xml:space="preserve">年。</w:t>
      </w:r>
    </w:p>
    <w:p>
      <w:pPr>
        <w:pStyle w:val="Compact"/>
        <w:numPr>
          <w:ilvl w:val="0"/>
          <w:numId w:val="1001"/>
        </w:numPr>
      </w:pPr>
      <w:r>
        <w:t xml:space="preserve">EHS </w:t>
      </w:r>
      <w:r>
        <w:rPr>
          <w:rFonts w:hint="eastAsia"/>
        </w:rPr>
        <w:t xml:space="preserve">部每季進行一次環境合規內部檢查，發現的不符合項須在</w:t>
      </w:r>
      <w:r>
        <w:t xml:space="preserve"> 30 </w:t>
      </w:r>
      <w:r>
        <w:rPr>
          <w:rFonts w:hint="eastAsia"/>
        </w:rPr>
        <w:t xml:space="preserve">日內關閉。</w:t>
      </w:r>
    </w:p>
    <w:p>
      <w:pPr>
        <w:pStyle w:val="Compact"/>
        <w:numPr>
          <w:ilvl w:val="0"/>
          <w:numId w:val="1001"/>
        </w:numPr>
      </w:pPr>
      <w:r>
        <w:t xml:space="preserve">2025 </w:t>
      </w:r>
      <w:r>
        <w:rPr>
          <w:rFonts w:hint="eastAsia"/>
        </w:rPr>
        <w:t xml:space="preserve">年度東莞廠未發生環境違規事件，未收到監管機構處罰或環境投訴。</w:t>
      </w:r>
    </w:p>
    <w:bookmarkEnd w:id="22"/>
    <w:bookmarkStart w:id="23" w:name="第六章-應急管理"/>
    <w:p>
      <w:pPr>
        <w:pStyle w:val="Heading2"/>
      </w:pPr>
      <w:r>
        <w:rPr>
          <w:rFonts w:hint="eastAsia"/>
        </w:rPr>
        <w:t xml:space="preserve">第六章</w:t>
      </w:r>
      <w:r>
        <w:t xml:space="preserve"> </w:t>
      </w:r>
      <w:r>
        <w:rPr>
          <w:rFonts w:hint="eastAsia"/>
        </w:rPr>
        <w:t xml:space="preserve">應急管理</w:t>
      </w:r>
    </w:p>
    <w:p>
      <w:pPr>
        <w:pStyle w:val="FirstParagraph"/>
      </w:pPr>
      <w:r>
        <w:rPr>
          <w:rFonts w:hint="eastAsia"/>
        </w:rPr>
        <w:t xml:space="preserve">廠區備有《突發環境事件應急預案》，涵蓋化學品洩漏、廢水事故排放及火災次生污染三類情景，每年演練一次（2025</w:t>
      </w:r>
      <w:r>
        <w:t xml:space="preserve"> </w:t>
      </w:r>
      <w:r>
        <w:rPr>
          <w:rFonts w:hint="eastAsia"/>
        </w:rPr>
        <w:t xml:space="preserve">年</w:t>
      </w:r>
      <w:r>
        <w:t xml:space="preserve"> 6 </w:t>
      </w:r>
      <w:r>
        <w:rPr>
          <w:rFonts w:hint="eastAsia"/>
        </w:rPr>
        <w:t xml:space="preserve">月完成化學品洩漏演練，46</w:t>
      </w:r>
      <w:r>
        <w:t xml:space="preserve"> </w:t>
      </w:r>
      <w:r>
        <w:rPr>
          <w:rFonts w:hint="eastAsia"/>
        </w:rPr>
        <w:t xml:space="preserve">人參與）。應急物資由</w:t>
      </w:r>
      <w:r>
        <w:t xml:space="preserve"> EHS </w:t>
      </w:r>
      <w:r>
        <w:rPr>
          <w:rFonts w:hint="eastAsia"/>
        </w:rPr>
        <w:t xml:space="preserve">部每季盤點。</w:t>
      </w:r>
    </w:p>
    <w:bookmarkEnd w:id="23"/>
    <w:bookmarkStart w:id="24" w:name="第七章-環境目標"/>
    <w:p>
      <w:pPr>
        <w:pStyle w:val="Heading2"/>
      </w:pPr>
      <w:r>
        <w:rPr>
          <w:rFonts w:hint="eastAsia"/>
        </w:rPr>
        <w:t xml:space="preserve">第七章</w:t>
      </w:r>
      <w:r>
        <w:t xml:space="preserve"> </w:t>
      </w:r>
      <w:r>
        <w:rPr>
          <w:rFonts w:hint="eastAsia"/>
        </w:rPr>
        <w:t xml:space="preserve">環境目標</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目標</w:t>
            </w:r>
          </w:p>
        </w:tc>
        <w:tc>
          <w:tcPr/>
          <w:p>
            <w:pPr>
              <w:pStyle w:val="Compact"/>
            </w:pPr>
            <w:r>
              <w:rPr>
                <w:rFonts w:hint="eastAsia"/>
              </w:rPr>
              <w:t xml:space="preserve">基準年</w:t>
            </w:r>
          </w:p>
        </w:tc>
        <w:tc>
          <w:tcPr/>
          <w:p>
            <w:pPr>
              <w:pStyle w:val="Compact"/>
            </w:pPr>
            <w:r>
              <w:rPr>
                <w:rFonts w:hint="eastAsia"/>
              </w:rPr>
              <w:t xml:space="preserve">目標年</w:t>
            </w:r>
          </w:p>
        </w:tc>
        <w:tc>
          <w:tcPr/>
          <w:p>
            <w:pPr>
              <w:pStyle w:val="Compact"/>
            </w:pPr>
            <w:r>
              <w:t xml:space="preserve">2025 </w:t>
            </w:r>
            <w:r>
              <w:rPr>
                <w:rFonts w:hint="eastAsia"/>
              </w:rPr>
              <w:t xml:space="preserve">年進度</w:t>
            </w:r>
          </w:p>
        </w:tc>
      </w:tr>
      <w:tr>
        <w:tc>
          <w:tcPr/>
          <w:p>
            <w:pPr>
              <w:pStyle w:val="Compact"/>
            </w:pPr>
            <w:r>
              <w:rPr>
                <w:rFonts w:hint="eastAsia"/>
              </w:rPr>
              <w:t xml:space="preserve">能源消耗密度較</w:t>
            </w:r>
            <w:r>
              <w:t xml:space="preserve"> 2023 </w:t>
            </w:r>
            <w:r>
              <w:rPr>
                <w:rFonts w:hint="eastAsia"/>
              </w:rPr>
              <w:t xml:space="preserve">年下降</w:t>
            </w:r>
            <w:r>
              <w:t xml:space="preserve"> 15%</w:t>
            </w:r>
          </w:p>
        </w:tc>
        <w:tc>
          <w:tcPr/>
          <w:p>
            <w:pPr>
              <w:pStyle w:val="Compact"/>
            </w:pPr>
            <w:r>
              <w:t xml:space="preserve">2023</w:t>
            </w:r>
          </w:p>
        </w:tc>
        <w:tc>
          <w:tcPr/>
          <w:p>
            <w:pPr>
              <w:pStyle w:val="Compact"/>
            </w:pPr>
            <w:r>
              <w:t xml:space="preserve">2027</w:t>
            </w:r>
          </w:p>
        </w:tc>
        <w:tc>
          <w:tcPr/>
          <w:p>
            <w:pPr>
              <w:pStyle w:val="Compact"/>
            </w:pPr>
            <w:r>
              <w:rPr>
                <w:rFonts w:hint="eastAsia"/>
              </w:rPr>
              <w:t xml:space="preserve">已下降</w:t>
            </w:r>
            <w:r>
              <w:t xml:space="preserve"> 13.2%</w:t>
            </w:r>
          </w:p>
        </w:tc>
      </w:tr>
      <w:tr>
        <w:tc>
          <w:tcPr/>
          <w:p>
            <w:pPr>
              <w:pStyle w:val="Compact"/>
            </w:pPr>
            <w:r>
              <w:rPr>
                <w:rFonts w:hint="eastAsia"/>
              </w:rPr>
              <w:t xml:space="preserve">範圍</w:t>
            </w:r>
            <w:r>
              <w:t xml:space="preserve"> 1 </w:t>
            </w:r>
            <w:r>
              <w:rPr>
                <w:rFonts w:hint="eastAsia"/>
              </w:rPr>
              <w:t xml:space="preserve">及範圍</w:t>
            </w:r>
            <w:r>
              <w:t xml:space="preserve"> 2 </w:t>
            </w:r>
            <w:r>
              <w:rPr>
                <w:rFonts w:hint="eastAsia"/>
              </w:rPr>
              <w:t xml:space="preserve">溫室氣體排放密度較</w:t>
            </w:r>
            <w:r>
              <w:t xml:space="preserve"> 2023 </w:t>
            </w:r>
            <w:r>
              <w:rPr>
                <w:rFonts w:hint="eastAsia"/>
              </w:rPr>
              <w:t xml:space="preserve">年下降</w:t>
            </w:r>
            <w:r>
              <w:t xml:space="preserve"> 30%</w:t>
            </w:r>
          </w:p>
        </w:tc>
        <w:tc>
          <w:tcPr/>
          <w:p>
            <w:pPr>
              <w:pStyle w:val="Compact"/>
            </w:pPr>
            <w:r>
              <w:t xml:space="preserve">2023</w:t>
            </w:r>
          </w:p>
        </w:tc>
        <w:tc>
          <w:tcPr/>
          <w:p>
            <w:pPr>
              <w:pStyle w:val="Compact"/>
            </w:pPr>
            <w:r>
              <w:t xml:space="preserve">2030</w:t>
            </w:r>
          </w:p>
        </w:tc>
        <w:tc>
          <w:tcPr/>
          <w:p>
            <w:pPr>
              <w:pStyle w:val="Compact"/>
            </w:pPr>
            <w:r>
              <w:rPr>
                <w:rFonts w:hint="eastAsia"/>
              </w:rPr>
              <w:t xml:space="preserve">已下降</w:t>
            </w:r>
            <w:r>
              <w:t xml:space="preserve"> 22.4%</w:t>
            </w:r>
          </w:p>
        </w:tc>
      </w:tr>
      <w:tr>
        <w:tc>
          <w:tcPr/>
          <w:p>
            <w:pPr>
              <w:pStyle w:val="Compact"/>
            </w:pPr>
            <w:r>
              <w:rPr>
                <w:rFonts w:hint="eastAsia"/>
              </w:rPr>
              <w:t xml:space="preserve">廢棄物回收率不低於</w:t>
            </w:r>
            <w:r>
              <w:t xml:space="preserve"> 55%</w:t>
            </w:r>
          </w:p>
        </w:tc>
        <w:tc>
          <w:tcPr/>
          <w:p>
            <w:pPr>
              <w:pStyle w:val="Compact"/>
            </w:pPr>
            <w:r>
              <w:t xml:space="preserve">—</w:t>
            </w:r>
          </w:p>
        </w:tc>
        <w:tc>
          <w:tcPr/>
          <w:p>
            <w:pPr>
              <w:pStyle w:val="Compact"/>
            </w:pPr>
            <w:r>
              <w:rPr>
                <w:rFonts w:hint="eastAsia"/>
              </w:rPr>
              <w:t xml:space="preserve">每年</w:t>
            </w:r>
          </w:p>
        </w:tc>
        <w:tc>
          <w:tcPr/>
          <w:p>
            <w:pPr>
              <w:pStyle w:val="Compact"/>
            </w:pPr>
            <w:r>
              <w:t xml:space="preserve">59.8%</w:t>
            </w:r>
          </w:p>
        </w:tc>
      </w:tr>
      <w:tr>
        <w:tc>
          <w:tcPr/>
          <w:p>
            <w:pPr>
              <w:pStyle w:val="Compact"/>
            </w:pPr>
            <w:r>
              <w:rPr>
                <w:rFonts w:hint="eastAsia"/>
              </w:rPr>
              <w:t xml:space="preserve">環境違規事件為零</w:t>
            </w:r>
          </w:p>
        </w:tc>
        <w:tc>
          <w:tcPr/>
          <w:p>
            <w:pPr>
              <w:pStyle w:val="Compact"/>
            </w:pPr>
            <w:r>
              <w:t xml:space="preserve">—</w:t>
            </w:r>
          </w:p>
        </w:tc>
        <w:tc>
          <w:tcPr/>
          <w:p>
            <w:pPr>
              <w:pStyle w:val="Compact"/>
            </w:pPr>
            <w:r>
              <w:rPr>
                <w:rFonts w:hint="eastAsia"/>
              </w:rPr>
              <w:t xml:space="preserve">每年</w:t>
            </w:r>
          </w:p>
        </w:tc>
        <w:tc>
          <w:tcPr/>
          <w:p>
            <w:pPr>
              <w:pStyle w:val="Compact"/>
            </w:pPr>
            <w:r>
              <w:rPr>
                <w:rFonts w:hint="eastAsia"/>
              </w:rPr>
              <w:t xml:space="preserve">零</w:t>
            </w:r>
          </w:p>
        </w:tc>
      </w:tr>
    </w:tbl>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2026-09-05T07:38:03Z</dcterms:created>
  <dcterms:modified xsi:type="dcterms:W3CDTF">2026-09-05T07:38:03Z</dcterms:modified>
</cp:coreProperties>
</file>

<file path=docProps/custom.xml><?xml version="1.0" encoding="utf-8"?>
<Properties xmlns="http://schemas.openxmlformats.org/officeDocument/2006/custom-properties" xmlns:vt="http://schemas.openxmlformats.org/officeDocument/2006/docPropsVTypes"/>
</file>