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能源管理辦法"/>
    <w:p>
      <w:pPr>
        <w:pStyle w:val="Heading1"/>
      </w:pPr>
      <w:r>
        <w:rPr>
          <w:rFonts w:hint="eastAsia"/>
        </w:rPr>
        <w:t xml:space="preserve">能源管理辦法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：JL-EHS-002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4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：環境健康安全（EHS）部</w:t>
      </w:r>
      <w:r>
        <w:t xml:space="preserve"> </w:t>
      </w:r>
      <w:r>
        <w:rPr>
          <w:rFonts w:hint="eastAsia"/>
          <w:b/>
          <w:bCs/>
        </w:rPr>
        <w:t xml:space="preserve">簽核人</w:t>
      </w:r>
      <w:r>
        <w:rPr>
          <w:rFonts w:hint="eastAsia"/>
        </w:rPr>
        <w:t xml:space="preserve">：東莞廠總經理</w:t>
      </w:r>
      <w:r>
        <w:t xml:space="preserve"> </w:t>
      </w:r>
      <w:r>
        <w:rPr>
          <w:rFonts w:hint="eastAsia"/>
        </w:rPr>
        <w:t xml:space="preserve">周啟明</w:t>
      </w:r>
    </w:p>
    <w:bookmarkStart w:id="9" w:name="一目的與範圍"/>
    <w:p>
      <w:pPr>
        <w:pStyle w:val="Heading2"/>
      </w:pPr>
      <w:r>
        <w:rPr>
          <w:rFonts w:hint="eastAsia"/>
        </w:rPr>
        <w:t xml:space="preserve">一、目的與範圍</w:t>
      </w:r>
    </w:p>
    <w:p>
      <w:pPr>
        <w:pStyle w:val="FirstParagraph"/>
      </w:pPr>
      <w:r>
        <w:rPr>
          <w:rFonts w:hint="eastAsia"/>
        </w:rPr>
        <w:t xml:space="preserve">規範集團能源（電力、天然氣、柴油、汽油、石油氣）的計量、統計、目標管理及節能改造程序，以達成董事會批准的能源消耗密度目標（2027</w:t>
      </w:r>
      <w:r>
        <w:t xml:space="preserve"> </w:t>
      </w:r>
      <w:r>
        <w:rPr>
          <w:rFonts w:hint="eastAsia"/>
        </w:rPr>
        <w:t xml:space="preserve">年較</w:t>
      </w:r>
      <w:r>
        <w:t xml:space="preserve"> 2023 </w:t>
      </w:r>
      <w:r>
        <w:rPr>
          <w:rFonts w:hint="eastAsia"/>
        </w:rPr>
        <w:t xml:space="preserve">年下降</w:t>
      </w:r>
      <w:r>
        <w:t xml:space="preserve"> </w:t>
      </w:r>
      <w:r>
        <w:rPr>
          <w:rFonts w:hint="eastAsia"/>
        </w:rPr>
        <w:t xml:space="preserve">15%）。適用於東莞廠全部生產及輔助設施，香港辦公室適用第五條。</w:t>
      </w:r>
    </w:p>
    <w:bookmarkEnd w:id="9"/>
    <w:bookmarkStart w:id="10" w:name="二責任分工"/>
    <w:p>
      <w:pPr>
        <w:pStyle w:val="Heading2"/>
      </w:pPr>
      <w:r>
        <w:rPr>
          <w:rFonts w:hint="eastAsia"/>
        </w:rPr>
        <w:t xml:space="preserve">二、責任分工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生產部</w:t>
      </w:r>
      <w:r>
        <w:rPr>
          <w:rFonts w:hint="eastAsia"/>
        </w:rPr>
        <w:t xml:space="preserve">：設備能效管理，主導節能改造項目的技術方案及實施。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EHS </w:t>
      </w:r>
      <w:r>
        <w:rPr>
          <w:rFonts w:hint="eastAsia"/>
          <w:b/>
          <w:bCs/>
        </w:rPr>
        <w:t xml:space="preserve">部</w:t>
      </w:r>
      <w:r>
        <w:rPr>
          <w:rFonts w:hint="eastAsia"/>
        </w:rPr>
        <w:t xml:space="preserve">：能源計量、統計及目標跟蹤；每季編製能源分析報告。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設備維護組</w:t>
      </w:r>
      <w:r>
        <w:rPr>
          <w:rFonts w:hint="eastAsia"/>
        </w:rPr>
        <w:t xml:space="preserve">：空壓機、冷卻塔、空調系統的運行參數設定與維護。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採購部</w:t>
      </w:r>
      <w:r>
        <w:rPr>
          <w:rFonts w:hint="eastAsia"/>
        </w:rPr>
        <w:t xml:space="preserve">：新購設備的能效準入審核。</w:t>
      </w:r>
    </w:p>
    <w:bookmarkEnd w:id="10"/>
    <w:bookmarkStart w:id="11" w:name="三計量與統計"/>
    <w:p>
      <w:pPr>
        <w:pStyle w:val="Heading2"/>
      </w:pPr>
      <w:r>
        <w:rPr>
          <w:rFonts w:hint="eastAsia"/>
        </w:rPr>
        <w:t xml:space="preserve">三、計量與統計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沖壓、注塑、熱處理及公用設施四個分項安裝電錶，每月抄錶；分項合計與總錶偏差超過</w:t>
      </w:r>
      <w:r>
        <w:t xml:space="preserve"> 3% </w:t>
      </w:r>
      <w:r>
        <w:rPr>
          <w:rFonts w:hint="eastAsia"/>
        </w:rPr>
        <w:t xml:space="preserve">須查明原因。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天然氣、柴油、汽油、石油氣按供應商計費單及領用記錄統計，每月核對。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光伏發電量、自用量及上網量按逆變器及雙向電錶記錄。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能源數據於每月</w:t>
      </w:r>
      <w:r>
        <w:t xml:space="preserve"> 10 </w:t>
      </w:r>
      <w:r>
        <w:rPr>
          <w:rFonts w:hint="eastAsia"/>
        </w:rPr>
        <w:t xml:space="preserve">日前提交</w:t>
      </w:r>
      <w:r>
        <w:t xml:space="preserve"> EHS </w:t>
      </w:r>
      <w:r>
        <w:rPr>
          <w:rFonts w:hint="eastAsia"/>
        </w:rPr>
        <w:t xml:space="preserve">部，EHS</w:t>
      </w:r>
      <w:r>
        <w:t xml:space="preserve"> </w:t>
      </w:r>
      <w:r>
        <w:rPr>
          <w:rFonts w:hint="eastAsia"/>
        </w:rPr>
        <w:t xml:space="preserve">部按統一換算系數折算為</w:t>
      </w:r>
      <w:r>
        <w:t xml:space="preserve"> MWh。</w:t>
      </w:r>
    </w:p>
    <w:bookmarkEnd w:id="11"/>
    <w:bookmarkStart w:id="15" w:name="四節能改造與運行控制"/>
    <w:p>
      <w:pPr>
        <w:pStyle w:val="Heading2"/>
      </w:pPr>
      <w:r>
        <w:rPr>
          <w:rFonts w:hint="eastAsia"/>
        </w:rPr>
        <w:t xml:space="preserve">四、節能改造與運行控制</w:t>
      </w:r>
    </w:p>
    <w:bookmarkStart w:id="12" w:name="已完成項目"/>
    <w:p>
      <w:pPr>
        <w:pStyle w:val="Heading3"/>
      </w:pPr>
      <w:r>
        <w:t xml:space="preserve">4.1 </w:t>
      </w:r>
      <w:r>
        <w:rPr>
          <w:rFonts w:hint="eastAsia"/>
        </w:rPr>
        <w:t xml:space="preserve">已完成項目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年節電量（MWh，估算）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屋頂光伏</w:t>
            </w:r>
            <w:r>
              <w:t xml:space="preserve"> 1.2 MWp </w:t>
            </w:r>
            <w:r>
              <w:rPr>
                <w:rFonts w:hint="eastAsia"/>
              </w:rPr>
              <w:t xml:space="preserve">投運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自發自用約</w:t>
            </w:r>
            <w:r>
              <w:t xml:space="preserve"> </w:t>
            </w:r>
            <w:r>
              <w:rPr>
                <w:rFonts w:hint="eastAsia"/>
              </w:rPr>
              <w:t xml:space="preserve">1,360（2025</w:t>
            </w:r>
            <w:r>
              <w:t xml:space="preserve"> </w:t>
            </w:r>
            <w:r>
              <w:rPr>
                <w:rFonts w:hint="eastAsia"/>
              </w:rPr>
              <w:t xml:space="preserve">年實績）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沖壓車間</w:t>
            </w:r>
            <w:r>
              <w:t xml:space="preserve"> 22 </w:t>
            </w:r>
            <w:r>
              <w:rPr>
                <w:rFonts w:hint="eastAsia"/>
              </w:rPr>
              <w:t xml:space="preserve">台機械沖床替換為伺服沖床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廠區照明全部改用</w:t>
            </w:r>
            <w:r>
              <w:t xml:space="preserve"> LED </w:t>
            </w:r>
            <w:r>
              <w:rPr>
                <w:rFonts w:hint="eastAsia"/>
              </w:rPr>
              <w:t xml:space="preserve">及分區感應控制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空壓機系統改造（變頻加集中控制，修復洩漏點</w:t>
            </w:r>
            <w:r>
              <w:t xml:space="preserve"> 37 </w:t>
            </w:r>
            <w:r>
              <w:rPr>
                <w:rFonts w:hint="eastAsia"/>
              </w:rPr>
              <w:t xml:space="preserve">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冷卻塔加裝變頻及溫度聯動控制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120</w:t>
            </w:r>
          </w:p>
        </w:tc>
      </w:tr>
    </w:tbl>
    <w:bookmarkEnd w:id="12"/>
    <w:bookmarkStart w:id="13" w:name="運行控制要求"/>
    <w:p>
      <w:pPr>
        <w:pStyle w:val="Heading3"/>
      </w:pPr>
      <w:r>
        <w:t xml:space="preserve">4.2 </w:t>
      </w:r>
      <w:r>
        <w:rPr>
          <w:rFonts w:hint="eastAsia"/>
        </w:rPr>
        <w:t xml:space="preserve">運行控制要求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沖床、注塑機及熱處理爐執行待機超過</w:t>
      </w:r>
      <w:r>
        <w:t xml:space="preserve"> 30 </w:t>
      </w:r>
      <w:r>
        <w:rPr>
          <w:rFonts w:hint="eastAsia"/>
        </w:rPr>
        <w:t xml:space="preserve">分鐘停機或降溫要求；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空壓機供氣壓力設定不高於</w:t>
      </w:r>
      <w:r>
        <w:t xml:space="preserve"> 0.65 </w:t>
      </w:r>
      <w:r>
        <w:rPr>
          <w:rFonts w:hint="eastAsia"/>
        </w:rPr>
        <w:t xml:space="preserve">MPa，每季進行洩漏檢測；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車間空調夏季設定不低於</w:t>
      </w:r>
      <w:r>
        <w:t xml:space="preserve"> </w:t>
      </w:r>
      <w:r>
        <w:rPr>
          <w:rFonts w:hint="eastAsia"/>
        </w:rPr>
        <w:t xml:space="preserve">26°C，非生產時段關閉；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熱處理爐排產集中，減少升溫次數。</w:t>
      </w:r>
    </w:p>
    <w:bookmarkEnd w:id="13"/>
    <w:bookmarkStart w:id="14" w:name="新購設備能效準入"/>
    <w:p>
      <w:pPr>
        <w:pStyle w:val="Heading3"/>
      </w:pPr>
      <w:r>
        <w:t xml:space="preserve">4.3 </w:t>
      </w:r>
      <w:r>
        <w:rPr>
          <w:rFonts w:hint="eastAsia"/>
        </w:rPr>
        <w:t xml:space="preserve">新購設備能效準入</w:t>
      </w:r>
    </w:p>
    <w:p>
      <w:pPr>
        <w:pStyle w:val="FirstParagraph"/>
      </w:pPr>
      <w:r>
        <w:rPr>
          <w:rFonts w:hint="eastAsia"/>
        </w:rPr>
        <w:t xml:space="preserve">生產設備採購須提供能效數據並經</w:t>
      </w:r>
      <w:r>
        <w:t xml:space="preserve"> EHS </w:t>
      </w:r>
      <w:r>
        <w:rPr>
          <w:rFonts w:hint="eastAsia"/>
        </w:rPr>
        <w:t xml:space="preserve">部審核；電機類設備須符合</w:t>
      </w:r>
      <w:r>
        <w:t xml:space="preserve"> IE3 </w:t>
      </w:r>
      <w:r>
        <w:rPr>
          <w:rFonts w:hint="eastAsia"/>
        </w:rPr>
        <w:t xml:space="preserve">或以上能效等級。</w:t>
      </w:r>
    </w:p>
    <w:bookmarkEnd w:id="14"/>
    <w:bookmarkEnd w:id="15"/>
    <w:bookmarkStart w:id="16" w:name="五可再生能源"/>
    <w:p>
      <w:pPr>
        <w:pStyle w:val="Heading2"/>
      </w:pPr>
      <w:r>
        <w:rPr>
          <w:rFonts w:hint="eastAsia"/>
        </w:rPr>
        <w:t xml:space="preserve">五、可再生能源</w:t>
      </w:r>
    </w:p>
    <w:p>
      <w:pPr>
        <w:pStyle w:val="FirstParagraph"/>
      </w:pPr>
      <w:r>
        <w:rPr>
          <w:rFonts w:hint="eastAsia"/>
        </w:rPr>
        <w:t xml:space="preserve">集團現階段以屋頂光伏自發自用為主，2025</w:t>
      </w:r>
      <w:r>
        <w:t xml:space="preserve"> </w:t>
      </w:r>
      <w:r>
        <w:rPr>
          <w:rFonts w:hint="eastAsia"/>
        </w:rPr>
        <w:t xml:space="preserve">年自用電力</w:t>
      </w:r>
      <w:r>
        <w:t xml:space="preserve"> 1,360 </w:t>
      </w:r>
      <w:r>
        <w:rPr>
          <w:rFonts w:hint="eastAsia"/>
        </w:rPr>
        <w:t xml:space="preserve">MWh，約佔電力消耗的</w:t>
      </w:r>
      <w:r>
        <w:t xml:space="preserve"> </w:t>
      </w:r>
      <w:r>
        <w:rPr>
          <w:rFonts w:hint="eastAsia"/>
        </w:rPr>
        <w:t xml:space="preserve">10.2%。集團正評估在東莞廠新建倉庫屋頂加裝約</w:t>
      </w:r>
      <w:r>
        <w:t xml:space="preserve"> 0.6 MWp </w:t>
      </w:r>
      <w:r>
        <w:rPr>
          <w:rFonts w:hint="eastAsia"/>
        </w:rPr>
        <w:t xml:space="preserve">光伏的可行性，並研究購買可再生能源電力證書的方案；本辦法修訂時尚未作出決定。</w:t>
      </w:r>
    </w:p>
    <w:bookmarkEnd w:id="16"/>
    <w:bookmarkStart w:id="17" w:name="六目標跟蹤"/>
    <w:p>
      <w:pPr>
        <w:pStyle w:val="Heading2"/>
      </w:pPr>
      <w:r>
        <w:rPr>
          <w:rFonts w:hint="eastAsia"/>
        </w:rPr>
        <w:t xml:space="preserve">六、目標跟蹤</w:t>
      </w:r>
    </w:p>
    <w:p>
      <w:pPr>
        <w:pStyle w:val="FirstParagraph"/>
      </w:pPr>
      <w:r>
        <w:t xml:space="preserve">EHS </w:t>
      </w:r>
      <w:r>
        <w:rPr>
          <w:rFonts w:hint="eastAsia"/>
        </w:rPr>
        <w:t xml:space="preserve">部每季向</w:t>
      </w:r>
      <w:r>
        <w:t xml:space="preserve"> ESG </w:t>
      </w:r>
      <w:r>
        <w:rPr>
          <w:rFonts w:hint="eastAsia"/>
        </w:rPr>
        <w:t xml:space="preserve">工作小組報告能源消耗總量、密度及目標進度；年度目標偏離超過</w:t>
      </w:r>
      <w:r>
        <w:t xml:space="preserve"> 5% </w:t>
      </w:r>
      <w:r>
        <w:rPr>
          <w:rFonts w:hint="eastAsia"/>
        </w:rPr>
        <w:t xml:space="preserve">時，生產部須提出補救方案。2025</w:t>
      </w:r>
      <w:r>
        <w:t xml:space="preserve"> </w:t>
      </w:r>
      <w:r>
        <w:rPr>
          <w:rFonts w:hint="eastAsia"/>
        </w:rPr>
        <w:t xml:space="preserve">年能源消耗密度</w:t>
      </w:r>
      <w:r>
        <w:t xml:space="preserve"> 38.9 </w:t>
      </w:r>
      <w:r>
        <w:rPr>
          <w:rFonts w:hint="eastAsia"/>
        </w:rPr>
        <w:t xml:space="preserve">MWh／百萬港元，較</w:t>
      </w:r>
      <w:r>
        <w:t xml:space="preserve"> 2023 </w:t>
      </w:r>
      <w:r>
        <w:rPr>
          <w:rFonts w:hint="eastAsia"/>
        </w:rPr>
        <w:t xml:space="preserve">年</w:t>
      </w:r>
      <w:r>
        <w:t xml:space="preserve"> 44.8 </w:t>
      </w:r>
      <w:r>
        <w:rPr>
          <w:rFonts w:hint="eastAsia"/>
        </w:rPr>
        <w:t xml:space="preserve">下降</w:t>
      </w:r>
      <w:r>
        <w:t xml:space="preserve"> </w:t>
      </w:r>
      <w:r>
        <w:rPr>
          <w:rFonts w:hint="eastAsia"/>
        </w:rPr>
        <w:t xml:space="preserve">13.2%，目標進度符合預期。</w:t>
      </w:r>
    </w:p>
    <w:bookmarkEnd w:id="17"/>
    <w:bookmarkStart w:id="18" w:name="七香港辦公室"/>
    <w:p>
      <w:pPr>
        <w:pStyle w:val="Heading2"/>
      </w:pPr>
      <w:r>
        <w:rPr>
          <w:rFonts w:hint="eastAsia"/>
        </w:rPr>
        <w:t xml:space="preserve">七、香港辦公室</w:t>
      </w:r>
    </w:p>
    <w:p>
      <w:pPr>
        <w:pStyle w:val="FirstParagraph"/>
      </w:pPr>
      <w:r>
        <w:rPr>
          <w:rFonts w:hint="eastAsia"/>
        </w:rPr>
        <w:t xml:space="preserve">香港辦公室由物業管理處統一供電，2025</w:t>
      </w:r>
      <w:r>
        <w:t xml:space="preserve"> </w:t>
      </w:r>
      <w:r>
        <w:rPr>
          <w:rFonts w:hint="eastAsia"/>
        </w:rPr>
        <w:t xml:space="preserve">年用電</w:t>
      </w:r>
      <w:r>
        <w:t xml:space="preserve"> 230 </w:t>
      </w:r>
      <w:r>
        <w:rPr>
          <w:rFonts w:hint="eastAsia"/>
        </w:rPr>
        <w:t xml:space="preserve">MWh；執行空調溫度、離座關機及節能燈具要求，數據由行政部按電費單統計。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2026-09-05T07:38:03Z</dcterms:created>
  <dcterms:modified xsi:type="dcterms:W3CDTF">2026-09-05T07:38:03Z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