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度品質數據及客戶投訴記錄"/>
    <w:p>
      <w:pPr>
        <w:pStyle w:val="Heading1"/>
      </w:pPr>
      <w:r>
        <w:t xml:space="preserve">2025 </w:t>
      </w:r>
      <w:r>
        <w:rPr>
          <w:rFonts w:hint="eastAsia"/>
        </w:rPr>
        <w:t xml:space="preserve">年度品質數據及客戶投訴記錄</w:t>
      </w:r>
    </w:p>
    <w:p>
      <w:pPr>
        <w:pStyle w:val="FirstParagraph"/>
      </w:pPr>
      <w:r>
        <w:rPr>
          <w:rFonts w:hint="eastAsia"/>
          <w:b/>
          <w:bCs/>
        </w:rPr>
        <w:t xml:space="preserve">統計期間</w:t>
      </w:r>
      <w:r>
        <w:rPr>
          <w:rFonts w:hint="eastAsia"/>
        </w:rPr>
        <w:t xml:space="preserve">：2025-01-01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2025-12-31</w:t>
      </w:r>
      <w:r>
        <w:t xml:space="preserve"> </w:t>
      </w:r>
      <w:r>
        <w:rPr>
          <w:rFonts w:hint="eastAsia"/>
          <w:b/>
          <w:bCs/>
        </w:rPr>
        <w:t xml:space="preserve">編製部門</w:t>
      </w:r>
      <w:r>
        <w:rPr>
          <w:rFonts w:hint="eastAsia"/>
        </w:rPr>
        <w:t xml:space="preserve">：品質部、銷售及客戶服務部</w:t>
      </w:r>
      <w:r>
        <w:t xml:space="preserve"> </w:t>
      </w:r>
      <w:r>
        <w:rPr>
          <w:rFonts w:hint="eastAsia"/>
          <w:b/>
          <w:bCs/>
        </w:rPr>
        <w:t xml:space="preserve">負責人</w:t>
      </w:r>
      <w:r>
        <w:rPr>
          <w:rFonts w:hint="eastAsia"/>
        </w:rPr>
        <w:t xml:space="preserve">：品質部主管</w:t>
      </w:r>
      <w:r>
        <w:t xml:space="preserve"> </w:t>
      </w:r>
      <w:r>
        <w:rPr>
          <w:rFonts w:hint="eastAsia"/>
        </w:rPr>
        <w:t xml:space="preserve">張永樂、銷售及客戶服務部主管</w:t>
      </w:r>
      <w:r>
        <w:t xml:space="preserve"> </w:t>
      </w:r>
      <w:r>
        <w:rPr>
          <w:rFonts w:hint="eastAsia"/>
        </w:rPr>
        <w:t xml:space="preserve">高美玲</w:t>
      </w:r>
      <w:r>
        <w:t xml:space="preserve"> </w:t>
      </w:r>
      <w:r>
        <w:rPr>
          <w:rFonts w:hint="eastAsia"/>
          <w:b/>
          <w:bCs/>
        </w:rPr>
        <w:t xml:space="preserve">編製日期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</w:p>
    <w:bookmarkStart w:id="9" w:name="一品質指標"/>
    <w:p>
      <w:pPr>
        <w:pStyle w:val="Heading2"/>
      </w:pPr>
      <w:r>
        <w:rPr>
          <w:rFonts w:hint="eastAsia"/>
        </w:rPr>
        <w:t xml:space="preserve">一、品質指標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出貨不良率（ppm）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≤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因安全與健康理由須回收的產品百分比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客戶投訴數目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≤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投訴處理完成率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投訴平均關閉天數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客戶滿意度（滿分</w:t>
            </w:r>
            <w:r>
              <w:t xml:space="preserve"> </w:t>
            </w:r>
            <w:r>
              <w:rPr>
                <w:rFonts w:hint="eastAsia"/>
              </w:rPr>
              <w:t xml:space="preserve">100）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</w:tbl>
    <w:bookmarkEnd w:id="9"/>
    <w:bookmarkStart w:id="10" w:name="二產品回收守則-b6.1"/>
    <w:p>
      <w:pPr>
        <w:pStyle w:val="Heading2"/>
      </w:pPr>
      <w:r>
        <w:rPr>
          <w:rFonts w:hint="eastAsia"/>
        </w:rPr>
        <w:t xml:space="preserve">二、產品回收（守則</w:t>
      </w:r>
      <w:r>
        <w:t xml:space="preserve"> </w:t>
      </w:r>
      <w:r>
        <w:rPr>
          <w:rFonts w:hint="eastAsia"/>
        </w:rPr>
        <w:t xml:space="preserve">B6.1）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年已售或已運送產品中，無因安全與健康理由而須回收的產品；亦無客戶因產品安全問題發出的召回通知。</w:t>
      </w:r>
    </w:p>
    <w:bookmarkEnd w:id="10"/>
    <w:bookmarkStart w:id="11" w:name="三客戶投訴明細守則-b6.2"/>
    <w:p>
      <w:pPr>
        <w:pStyle w:val="Heading2"/>
      </w:pPr>
      <w:r>
        <w:rPr>
          <w:rFonts w:hint="eastAsia"/>
        </w:rPr>
        <w:t xml:space="preserve">三、客戶投訴明細（守則</w:t>
      </w:r>
      <w:r>
        <w:t xml:space="preserve"> </w:t>
      </w:r>
      <w:r>
        <w:rPr>
          <w:rFonts w:hint="eastAsia"/>
        </w:rPr>
        <w:t xml:space="preserve">B6.2）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關閉天數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連接器端子鍍層局部發黑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外協電鍍供應商鈍化工序參數偏差；供應商整改並加嚴進料檢驗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春節前訂單延遲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排產計劃調整，增加關鍵物料安全庫存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屏蔽罩尺寸超差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模具磨損，更換沖頭並縮短保養週期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沖壓件表面壓痕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模具內異物；增加模具清潔頻次及在線檢測靈敏度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膠盤破損導致產品混料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更換膠盤供應商規格並增加外箱緩衝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高壓連接器插拔力偏低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彈片材料批次硬度偏低；供應商換批並加嚴進料硬度抽檢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組裝模組螺絲漏裝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組裝工位防呆治具失效；修復治具並增加影像檢測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出貨數量與訂單不符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出貨系統數量核對規則修訂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端子鍍層厚度不足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外協電鍍供應商電流密度設定錯誤；供應商整改並列入</w:t>
            </w:r>
            <w:r>
              <w:t xml:space="preserve"> 2026 </w:t>
            </w:r>
            <w:r>
              <w:rPr>
                <w:rFonts w:hint="eastAsia"/>
              </w:rPr>
              <w:t xml:space="preserve">年審核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核對：9</w:t>
      </w:r>
      <w:r>
        <w:t xml:space="preserve"> </w:t>
      </w:r>
      <w:r>
        <w:rPr>
          <w:rFonts w:hint="eastAsia"/>
        </w:rPr>
        <w:t xml:space="preserve">宗，其中品質</w:t>
      </w:r>
      <w:r>
        <w:t xml:space="preserve"> 6 </w:t>
      </w:r>
      <w:r>
        <w:rPr>
          <w:rFonts w:hint="eastAsia"/>
        </w:rPr>
        <w:t xml:space="preserve">宗、交付</w:t>
      </w:r>
      <w:r>
        <w:t xml:space="preserve"> 2 </w:t>
      </w:r>
      <w:r>
        <w:rPr>
          <w:rFonts w:hint="eastAsia"/>
        </w:rPr>
        <w:t xml:space="preserve">宗、包裝</w:t>
      </w:r>
      <w:r>
        <w:t xml:space="preserve"> 1 </w:t>
      </w:r>
      <w:r>
        <w:rPr>
          <w:rFonts w:hint="eastAsia"/>
        </w:rPr>
        <w:t xml:space="preserve">宗；全部於期內關閉，平均關閉天數</w:t>
      </w:r>
      <w:r>
        <w:t xml:space="preserve"> (8+4+9+6+5+10+5+3+8) ÷ 9 = 6.4 </w:t>
      </w:r>
      <w:r>
        <w:rPr>
          <w:rFonts w:hint="eastAsia"/>
        </w:rPr>
        <w:t xml:space="preserve">天。三宗涉及外協電鍍供應商，已納入</w:t>
      </w:r>
      <w:r>
        <w:t xml:space="preserve"> 2026 </w:t>
      </w:r>
      <w:r>
        <w:rPr>
          <w:rFonts w:hint="eastAsia"/>
        </w:rPr>
        <w:t xml:space="preserve">年供應商審核重點。</w:t>
      </w:r>
    </w:p>
    <w:bookmarkEnd w:id="11"/>
    <w:bookmarkStart w:id="12" w:name="四客戶滿意度"/>
    <w:p>
      <w:pPr>
        <w:pStyle w:val="Heading2"/>
      </w:pPr>
      <w:r>
        <w:rPr>
          <w:rFonts w:hint="eastAsia"/>
        </w:rPr>
        <w:t xml:space="preserve">四、客戶滿意度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月向</w:t>
      </w:r>
      <w:r>
        <w:t xml:space="preserve"> 74 </w:t>
      </w:r>
      <w:r>
        <w:rPr>
          <w:rFonts w:hint="eastAsia"/>
        </w:rPr>
        <w:t xml:space="preserve">家活躍客戶發出調查，回收</w:t>
      </w:r>
      <w:r>
        <w:t xml:space="preserve"> 61 </w:t>
      </w:r>
      <w:r>
        <w:rPr>
          <w:rFonts w:hint="eastAsia"/>
        </w:rPr>
        <w:t xml:space="preserve">份，綜合滿意度</w:t>
      </w:r>
      <w:r>
        <w:t xml:space="preserve"> 92 </w:t>
      </w:r>
      <w:r>
        <w:rPr>
          <w:rFonts w:hint="eastAsia"/>
        </w:rPr>
        <w:t xml:space="preserve">分（2024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90 </w:t>
      </w:r>
      <w:r>
        <w:rPr>
          <w:rFonts w:hint="eastAsia"/>
        </w:rPr>
        <w:t xml:space="preserve">分）。客戶對品質穩定性及技術支援評價較高，對新產品開發週期及交付彈性提出改善期望。</w:t>
      </w:r>
    </w:p>
    <w:bookmarkEnd w:id="12"/>
    <w:bookmarkStart w:id="13" w:name="五廣告標籤及知識產權"/>
    <w:p>
      <w:pPr>
        <w:pStyle w:val="Heading2"/>
      </w:pPr>
      <w:r>
        <w:rPr>
          <w:rFonts w:hint="eastAsia"/>
        </w:rPr>
        <w:t xml:space="preserve">五、廣告、標籤及知識產權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年無涉及廣告、產品標籤或產品資料的投訴、糾紛或監管查詢；無知識產權糾紛。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