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年度廢棄物及用水台賬"/>
    <w:p>
      <w:pPr>
        <w:pStyle w:val="Heading1"/>
      </w:pPr>
      <w:r>
        <w:t xml:space="preserve">2025 </w:t>
      </w:r>
      <w:r>
        <w:rPr>
          <w:rFonts w:hint="eastAsia"/>
        </w:rPr>
        <w:t xml:space="preserve">年度廢棄物及用水台賬</w:t>
      </w:r>
    </w:p>
    <w:p>
      <w:pPr>
        <w:pStyle w:val="FirstParagraph"/>
      </w:pPr>
      <w:r>
        <w:rPr>
          <w:rFonts w:hint="eastAsia"/>
          <w:b/>
          <w:bCs/>
        </w:rPr>
        <w:t xml:space="preserve">企業名稱</w:t>
      </w:r>
      <w:r>
        <w:rPr>
          <w:rFonts w:hint="eastAsia"/>
        </w:rPr>
        <w:t xml:space="preserve">：晉澧精密工業控股有限公司（東莞晉澧精密電子有限公司廠區及香港總部辦公室）</w:t>
      </w:r>
      <w:r>
        <w:t xml:space="preserve"> </w:t>
      </w:r>
      <w:r>
        <w:rPr>
          <w:rFonts w:hint="eastAsia"/>
          <w:b/>
          <w:bCs/>
        </w:rPr>
        <w:t xml:space="preserve">匯報期間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：環境健康安全（EHS）部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審核人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</w:t>
      </w:r>
      <w:r>
        <w:t xml:space="preserve"> </w:t>
      </w:r>
      <w:r>
        <w:rPr>
          <w:rFonts w:hint="eastAsia"/>
        </w:rPr>
        <w:t xml:space="preserve">羅子軒</w:t>
      </w:r>
      <w:r>
        <w:t xml:space="preserve"> </w:t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：東莞廠總經理</w:t>
      </w:r>
      <w:r>
        <w:t xml:space="preserve"> </w:t>
      </w:r>
      <w:r>
        <w:rPr>
          <w:rFonts w:hint="eastAsia"/>
        </w:rPr>
        <w:t xml:space="preserve">周啟明</w:t>
      </w:r>
    </w:p>
    <w:bookmarkStart w:id="13" w:name="第一部分-廢棄物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廢棄物</w:t>
      </w:r>
    </w:p>
    <w:bookmarkStart w:id="9" w:name="有害廢棄物守則-a1.3"/>
    <w:p>
      <w:pPr>
        <w:pStyle w:val="Heading3"/>
      </w:pPr>
      <w:r>
        <w:rPr>
          <w:rFonts w:hint="eastAsia"/>
        </w:rPr>
        <w:t xml:space="preserve">有害廢棄物（守則</w:t>
      </w:r>
      <w:r>
        <w:t xml:space="preserve"> </w:t>
      </w:r>
      <w:r>
        <w:rPr>
          <w:rFonts w:hint="eastAsia"/>
        </w:rPr>
        <w:t xml:space="preserve">A1.3）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產生量（噸）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承辦商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廢切削液及廢油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交持證承辦商回收再生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東莞市持證危險廢物經營單位（示例）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含油抹布及手套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交持證承辦商焚燒處置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廢活性炭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交持證承辦商再生或處置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廢化學品包裝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交持證承辦商處置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其他（廢燈管、廢電池、廢油漆桶）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交持證承辦商處置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有害廢棄物密度：36.5</w:t>
      </w:r>
      <w:r>
        <w:t xml:space="preserve"> ÷ 486.2 =</w:t>
      </w:r>
      <w:r>
        <w:t xml:space="preserve"> </w:t>
      </w:r>
      <w:r>
        <w:rPr>
          <w:b/>
          <w:bCs/>
        </w:rPr>
        <w:t xml:space="preserve">0.075 </w:t>
      </w:r>
      <w:r>
        <w:rPr>
          <w:rFonts w:hint="eastAsia"/>
          <w:b/>
          <w:bCs/>
        </w:rPr>
        <w:t xml:space="preserve">噸／百萬港元</w:t>
      </w:r>
      <w:r>
        <w:rPr>
          <w:rFonts w:hint="eastAsia"/>
        </w:rPr>
        <w:t xml:space="preserve">。全部有害廢棄物執行電子轉移聯單，2025</w:t>
      </w:r>
      <w:r>
        <w:t xml:space="preserve"> </w:t>
      </w:r>
      <w:r>
        <w:rPr>
          <w:rFonts w:hint="eastAsia"/>
        </w:rPr>
        <w:t xml:space="preserve">年共</w:t>
      </w:r>
      <w:r>
        <w:t xml:space="preserve"> 24 </w:t>
      </w:r>
      <w:r>
        <w:rPr>
          <w:rFonts w:hint="eastAsia"/>
        </w:rPr>
        <w:t xml:space="preserve">批次，無跨省轉移。</w:t>
      </w:r>
    </w:p>
    <w:bookmarkEnd w:id="9"/>
    <w:bookmarkStart w:id="10" w:name="無害廢棄物守則-a1.4"/>
    <w:p>
      <w:pPr>
        <w:pStyle w:val="Heading3"/>
      </w:pPr>
      <w:r>
        <w:rPr>
          <w:rFonts w:hint="eastAsia"/>
        </w:rPr>
        <w:t xml:space="preserve">無害廢棄物（守則</w:t>
      </w:r>
      <w:r>
        <w:t xml:space="preserve"> </w:t>
      </w:r>
      <w:r>
        <w:rPr>
          <w:rFonts w:hint="eastAsia"/>
        </w:rPr>
        <w:t xml:space="preserve">A1.4）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產生量（噸）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其中回收（噸）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金屬邊角料（銅合金、不銹鋼）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分類回收交金屬回收商，銅合金邊角料部分回售材料供應商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廢紙及紙箱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回收商回收；沾污紙箱作生活垃圾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廢塑膠（注塑水口料、廢托盤、膠袋）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水口料回收商回收；混合廢塑膠作生活垃圾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生活垃圾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園區環衛清運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無害廢棄物密度：412</w:t>
      </w:r>
      <w:r>
        <w:t xml:space="preserve"> ÷ 486.2 =</w:t>
      </w:r>
      <w:r>
        <w:t xml:space="preserve"> </w:t>
      </w:r>
      <w:r>
        <w:rPr>
          <w:b/>
          <w:bCs/>
        </w:rPr>
        <w:t xml:space="preserve">0.847 </w:t>
      </w:r>
      <w:r>
        <w:rPr>
          <w:rFonts w:hint="eastAsia"/>
          <w:b/>
          <w:bCs/>
        </w:rPr>
        <w:t xml:space="preserve">噸／百萬港元</w:t>
      </w:r>
      <w:r>
        <w:t xml:space="preserve">。</w:t>
      </w:r>
    </w:p>
    <w:bookmarkEnd w:id="10"/>
    <w:bookmarkStart w:id="11" w:name="回收率守則-a1.6"/>
    <w:p>
      <w:pPr>
        <w:pStyle w:val="Heading3"/>
      </w:pPr>
      <w:r>
        <w:rPr>
          <w:rFonts w:hint="eastAsia"/>
        </w:rPr>
        <w:t xml:space="preserve">回收率（守則</w:t>
      </w:r>
      <w:r>
        <w:t xml:space="preserve"> </w:t>
      </w:r>
      <w:r>
        <w:rPr>
          <w:rFonts w:hint="eastAsia"/>
        </w:rPr>
        <w:t xml:space="preserve">A1.6）</w:t>
      </w:r>
    </w:p>
    <w:p>
      <w:pPr>
        <w:pStyle w:val="FirstParagraph"/>
      </w:pPr>
      <w:r>
        <w:rPr>
          <w:rFonts w:hint="eastAsia"/>
        </w:rPr>
        <w:t xml:space="preserve">廢棄物回收量</w:t>
      </w:r>
      <w:r>
        <w:t xml:space="preserve"> 268 </w:t>
      </w:r>
      <w:r>
        <w:rPr>
          <w:rFonts w:hint="eastAsia"/>
        </w:rPr>
        <w:t xml:space="preserve">噸</w:t>
      </w:r>
      <w:r>
        <w:t xml:space="preserve"> ÷ </w:t>
      </w:r>
      <w:r>
        <w:rPr>
          <w:rFonts w:hint="eastAsia"/>
        </w:rPr>
        <w:t xml:space="preserve">廢棄物總量（36.5</w:t>
      </w:r>
      <w:r>
        <w:t xml:space="preserve"> + 412 = 448.5 </w:t>
      </w:r>
      <w:r>
        <w:rPr>
          <w:rFonts w:hint="eastAsia"/>
        </w:rPr>
        <w:t xml:space="preserve">噸）=</w:t>
      </w:r>
      <w:r>
        <w:t xml:space="preserve"> </w:t>
      </w:r>
      <w:r>
        <w:rPr>
          <w:b/>
          <w:bCs/>
        </w:rPr>
        <w:t xml:space="preserve">59.8%</w:t>
      </w:r>
      <w:r>
        <w:rPr>
          <w:rFonts w:hint="eastAsia"/>
        </w:rPr>
        <w:t xml:space="preserve">，達成不低於</w:t>
      </w:r>
      <w:r>
        <w:t xml:space="preserve"> 55% </w:t>
      </w:r>
      <w:r>
        <w:rPr>
          <w:rFonts w:hint="eastAsia"/>
        </w:rPr>
        <w:t xml:space="preserve">的年度目標。金屬邊角料回收率</w:t>
      </w:r>
      <w:r>
        <w:t xml:space="preserve"> </w:t>
      </w:r>
      <w:r>
        <w:rPr>
          <w:rFonts w:hint="eastAsia"/>
        </w:rPr>
        <w:t xml:space="preserve">88.5%（232</w:t>
      </w:r>
      <w:r>
        <w:t xml:space="preserve"> ÷ </w:t>
      </w:r>
      <w:r>
        <w:rPr>
          <w:rFonts w:hint="eastAsia"/>
        </w:rPr>
        <w:t xml:space="preserve">262），是回收量的主要來源；廢塑膠回收率偏低（25.8%），主因混合廢塑膠缺乏本地回收渠道。</w:t>
      </w:r>
    </w:p>
    <w:bookmarkEnd w:id="11"/>
    <w:bookmarkStart w:id="12" w:name="季度分佈"/>
    <w:p>
      <w:pPr>
        <w:pStyle w:val="Heading3"/>
      </w:pPr>
      <w:r>
        <w:rPr>
          <w:rFonts w:hint="eastAsia"/>
        </w:rPr>
        <w:t xml:space="preserve">季度分佈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有害廢棄物（噸）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無害廢棄物（噸）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回收量（噸）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第一季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第二季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第三季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第四季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</w:t>
            </w:r>
          </w:p>
        </w:tc>
      </w:tr>
    </w:tbl>
    <w:bookmarkEnd w:id="12"/>
    <w:bookmarkEnd w:id="13"/>
    <w:bookmarkStart w:id="18" w:name="第二部分-用水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用水</w:t>
      </w:r>
    </w:p>
    <w:bookmarkStart w:id="14" w:name="耗水量守則-a2.2"/>
    <w:p>
      <w:pPr>
        <w:pStyle w:val="Heading3"/>
      </w:pPr>
      <w:r>
        <w:rPr>
          <w:rFonts w:hint="eastAsia"/>
        </w:rPr>
        <w:t xml:space="preserve">耗水量（守則</w:t>
      </w:r>
      <w:r>
        <w:t xml:space="preserve"> </w:t>
      </w:r>
      <w:r>
        <w:rPr>
          <w:rFonts w:hint="eastAsia"/>
        </w:rPr>
        <w:t xml:space="preserve">A2.2）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耗水量（立方米）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</w:t>
            </w:r>
          </w:p>
        </w:tc>
        <w:tc>
          <w:tcPr/>
          <w:p>
            <w:pPr>
              <w:pStyle w:val="Compact"/>
            </w:pPr>
            <w:r>
              <w:t xml:space="preserve">56,900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市政供水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園區總水錶及車間、生活區分錶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香港辦公室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市政供水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無獨立水錶，按物業管理處分攤估算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58,400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耗水密度：58,400</w:t>
      </w:r>
      <w:r>
        <w:t xml:space="preserve"> ÷ 486.2 =</w:t>
      </w:r>
      <w:r>
        <w:t xml:space="preserve"> </w:t>
      </w:r>
      <w:r>
        <w:rPr>
          <w:b/>
          <w:bCs/>
        </w:rPr>
        <w:t xml:space="preserve">120.1 </w:t>
      </w:r>
      <w:r>
        <w:rPr>
          <w:rFonts w:hint="eastAsia"/>
          <w:b/>
          <w:bCs/>
        </w:rPr>
        <w:t xml:space="preserve">立方米／百萬港元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東莞廠用水構成：生產用水（模具清洗、冷卻塔補水、地面沖洗）約</w:t>
      </w:r>
      <w:r>
        <w:t xml:space="preserve"> 31,200 </w:t>
      </w:r>
      <w:r>
        <w:rPr>
          <w:rFonts w:hint="eastAsia"/>
        </w:rPr>
        <w:t xml:space="preserve">立方米，生活用水（飯堂、宿舍、辦公）約</w:t>
      </w:r>
      <w:r>
        <w:t xml:space="preserve"> 25,700 </w:t>
      </w:r>
      <w:r>
        <w:rPr>
          <w:rFonts w:hint="eastAsia"/>
        </w:rPr>
        <w:t xml:space="preserve">立方米。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東莞廠耗水（立方米）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第一季</w:t>
            </w:r>
          </w:p>
        </w:tc>
        <w:tc>
          <w:tcPr/>
          <w:p>
            <w:pPr>
              <w:pStyle w:val="Compact"/>
            </w:pPr>
            <w:r>
              <w:t xml:space="preserve">13,600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第二季</w:t>
            </w:r>
          </w:p>
        </w:tc>
        <w:tc>
          <w:tcPr/>
          <w:p>
            <w:pPr>
              <w:pStyle w:val="Compact"/>
            </w:pPr>
            <w:r>
              <w:t xml:space="preserve">14,300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第三季</w:t>
            </w:r>
          </w:p>
        </w:tc>
        <w:tc>
          <w:tcPr/>
          <w:p>
            <w:pPr>
              <w:pStyle w:val="Compact"/>
            </w:pPr>
            <w:r>
              <w:t xml:space="preserve">15,200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第四季</w:t>
            </w:r>
          </w:p>
        </w:tc>
        <w:tc>
          <w:tcPr/>
          <w:p>
            <w:pPr>
              <w:pStyle w:val="Compact"/>
            </w:pPr>
            <w:r>
              <w:t xml:space="preserve">13,800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56,900</w:t>
            </w:r>
          </w:p>
        </w:tc>
      </w:tr>
    </w:tbl>
    <w:bookmarkEnd w:id="14"/>
    <w:bookmarkStart w:id="15" w:name="循環再用水守則-a2.4"/>
    <w:p>
      <w:pPr>
        <w:pStyle w:val="Heading3"/>
      </w:pPr>
      <w:r>
        <w:rPr>
          <w:rFonts w:hint="eastAsia"/>
        </w:rPr>
        <w:t xml:space="preserve">循環再用水（守則</w:t>
      </w:r>
      <w:r>
        <w:t xml:space="preserve"> </w:t>
      </w:r>
      <w:r>
        <w:rPr>
          <w:rFonts w:hint="eastAsia"/>
        </w:rPr>
        <w:t xml:space="preserve">A2.4）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年循環再用水</w:t>
      </w:r>
      <w:r>
        <w:t xml:space="preserve"> </w:t>
      </w:r>
      <w:r>
        <w:rPr>
          <w:b/>
          <w:bCs/>
        </w:rPr>
        <w:t xml:space="preserve">6,200 </w:t>
      </w:r>
      <w:r>
        <w:rPr>
          <w:rFonts w:hint="eastAsia"/>
          <w:b/>
          <w:bCs/>
        </w:rPr>
        <w:t xml:space="preserve">立方米</w:t>
      </w:r>
      <w:r>
        <w:rPr>
          <w:rFonts w:hint="eastAsia"/>
        </w:rPr>
        <w:t xml:space="preserve">，包括雨水收集用於綠化及地面沖洗約</w:t>
      </w:r>
      <w:r>
        <w:t xml:space="preserve"> 2,400 </w:t>
      </w:r>
      <w:r>
        <w:rPr>
          <w:rFonts w:hint="eastAsia"/>
        </w:rPr>
        <w:t xml:space="preserve">立方米，以及廠區中水系統把處理後的生活污水用於沖廁約</w:t>
      </w:r>
      <w:r>
        <w:t xml:space="preserve"> 3,800 </w:t>
      </w:r>
      <w:r>
        <w:rPr>
          <w:rFonts w:hint="eastAsia"/>
        </w:rPr>
        <w:t xml:space="preserve">立方米。</w:t>
      </w:r>
    </w:p>
    <w:bookmarkEnd w:id="15"/>
    <w:bookmarkStart w:id="16" w:name="廢水排放守則-a1.1"/>
    <w:p>
      <w:pPr>
        <w:pStyle w:val="Heading3"/>
      </w:pPr>
      <w:r>
        <w:rPr>
          <w:rFonts w:hint="eastAsia"/>
        </w:rPr>
        <w:t xml:space="preserve">廢水排放（守則</w:t>
      </w:r>
      <w:r>
        <w:t xml:space="preserve"> </w:t>
      </w:r>
      <w:r>
        <w:rPr>
          <w:rFonts w:hint="eastAsia"/>
        </w:rPr>
        <w:t xml:space="preserve">A1.1）</w:t>
      </w:r>
    </w:p>
    <w:p>
      <w:pPr>
        <w:pStyle w:val="FirstParagraph"/>
      </w:pPr>
      <w:r>
        <w:rPr>
          <w:rFonts w:hint="eastAsia"/>
        </w:rPr>
        <w:t xml:space="preserve">廠區廢水經隔油及氣浮預處理後排入園區污水管網，2025</w:t>
      </w:r>
      <w:r>
        <w:t xml:space="preserve"> </w:t>
      </w:r>
      <w:r>
        <w:rPr>
          <w:rFonts w:hint="eastAsia"/>
        </w:rPr>
        <w:t xml:space="preserve">年排放量</w:t>
      </w:r>
      <w:r>
        <w:t xml:space="preserve"> </w:t>
      </w:r>
      <w:r>
        <w:rPr>
          <w:b/>
          <w:bCs/>
        </w:rPr>
        <w:t xml:space="preserve">41,200 </w:t>
      </w:r>
      <w:r>
        <w:rPr>
          <w:rFonts w:hint="eastAsia"/>
          <w:b/>
          <w:bCs/>
        </w:rPr>
        <w:t xml:space="preserve">立方米</w:t>
      </w:r>
      <w:r>
        <w:rPr>
          <w:rFonts w:hint="eastAsia"/>
        </w:rPr>
        <w:t xml:space="preserve">（按排放口流量計），化學需氧量排放</w:t>
      </w:r>
      <w:r>
        <w:t xml:space="preserve"> </w:t>
      </w:r>
      <w:r>
        <w:rPr>
          <w:b/>
          <w:bCs/>
        </w:rPr>
        <w:t xml:space="preserve">1,650 </w:t>
      </w:r>
      <w:r>
        <w:rPr>
          <w:rFonts w:hint="eastAsia"/>
          <w:b/>
          <w:bCs/>
        </w:rPr>
        <w:t xml:space="preserve">公斤</w:t>
      </w:r>
      <w:r>
        <w:rPr>
          <w:rFonts w:hint="eastAsia"/>
        </w:rPr>
        <w:t xml:space="preserve">（第三方季度檢測平均濃度</w:t>
      </w:r>
      <w:r>
        <w:t xml:space="preserve"> 40 mg/L × </w:t>
      </w:r>
      <w:r>
        <w:rPr>
          <w:rFonts w:hint="eastAsia"/>
        </w:rPr>
        <w:t xml:space="preserve">排放量）。全年四次檢測均符合園區污水處理廠接管標準。</w:t>
      </w:r>
    </w:p>
    <w:bookmarkEnd w:id="16"/>
    <w:bookmarkStart w:id="17" w:name="求取水源"/>
    <w:p>
      <w:pPr>
        <w:pStyle w:val="Heading3"/>
      </w:pPr>
      <w:r>
        <w:rPr>
          <w:rFonts w:hint="eastAsia"/>
        </w:rPr>
        <w:t xml:space="preserve">求取水源</w:t>
      </w:r>
    </w:p>
    <w:p>
      <w:pPr>
        <w:pStyle w:val="FirstParagraph"/>
      </w:pPr>
      <w:r>
        <w:rPr>
          <w:rFonts w:hint="eastAsia"/>
        </w:rPr>
        <w:t xml:space="preserve">東莞廠及香港辦公室均使用市政供水，2025</w:t>
      </w:r>
      <w:r>
        <w:t xml:space="preserve"> </w:t>
      </w:r>
      <w:r>
        <w:rPr>
          <w:rFonts w:hint="eastAsia"/>
        </w:rPr>
        <w:t xml:space="preserve">年未遇到供水不穩定或水質不達標的問題。</w:t>
      </w:r>
    </w:p>
    <w:bookmarkEnd w:id="17"/>
    <w:bookmarkEnd w:id="18"/>
    <w:bookmarkStart w:id="19" w:name="第三部分-說明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說明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有害廢棄物數量以轉移聯單重量為準，無害廢棄物以回收商及環衛過磅單為準。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香港辦公室廢棄物由物業統一收集，未單獨計量，不計入上表；辦公室廢紙回收由行政部記錄約</w:t>
      </w:r>
      <w:r>
        <w:t xml:space="preserve"> 1.2 </w:t>
      </w:r>
      <w:r>
        <w:rPr>
          <w:rFonts w:hint="eastAsia"/>
        </w:rPr>
        <w:t xml:space="preserve">噸，已計入廢紙回收量。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數據未經第三方鑑證。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