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年度業務回顧及經營情況說明"/>
    <w:p>
      <w:pPr>
        <w:pStyle w:val="Heading1"/>
      </w:pPr>
      <w:r>
        <w:t xml:space="preserve">2025 </w:t>
      </w:r>
      <w:r>
        <w:rPr>
          <w:rFonts w:hint="eastAsia"/>
        </w:rPr>
        <w:t xml:space="preserve">年度業務回顧及經營情況說明</w:t>
      </w:r>
    </w:p>
    <w:p>
      <w:pPr>
        <w:pStyle w:val="FirstParagraph"/>
      </w:pPr>
      <w:r>
        <w:rPr>
          <w:rFonts w:hint="eastAsia"/>
          <w:b/>
          <w:bCs/>
        </w:rPr>
        <w:t xml:space="preserve">編製部門</w:t>
      </w:r>
      <w:r>
        <w:rPr>
          <w:rFonts w:hint="eastAsia"/>
        </w:rPr>
        <w:t xml:space="preserve">：財務部</w:t>
      </w:r>
      <w:r>
        <w:t xml:space="preserve"> </w:t>
      </w:r>
      <w:r>
        <w:rPr>
          <w:rFonts w:hint="eastAsia"/>
          <w:b/>
          <w:bCs/>
        </w:rPr>
        <w:t xml:space="preserve">編製日期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審核人</w:t>
      </w:r>
      <w:r>
        <w:rPr>
          <w:rFonts w:hint="eastAsia"/>
        </w:rPr>
        <w:t xml:space="preserve">：執行董事兼財務總監</w:t>
      </w:r>
      <w:r>
        <w:t xml:space="preserve"> </w:t>
      </w:r>
      <w:r>
        <w:rPr>
          <w:rFonts w:hint="eastAsia"/>
        </w:rPr>
        <w:t xml:space="preserve">黃頌恩</w:t>
      </w:r>
    </w:p>
    <w:bookmarkStart w:id="9" w:name="一經營概況"/>
    <w:p>
      <w:pPr>
        <w:pStyle w:val="Heading2"/>
      </w:pPr>
      <w:r>
        <w:rPr>
          <w:rFonts w:hint="eastAsia"/>
        </w:rPr>
        <w:t xml:space="preserve">一、經營概況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年度集團營業收入</w:t>
      </w:r>
      <w:r>
        <w:t xml:space="preserve"> 486.2 </w:t>
      </w:r>
      <w:r>
        <w:rPr>
          <w:rFonts w:hint="eastAsia"/>
        </w:rPr>
        <w:t xml:space="preserve">百萬港元，較</w:t>
      </w:r>
      <w:r>
        <w:t xml:space="preserve"> 2024 </w:t>
      </w:r>
      <w:r>
        <w:rPr>
          <w:rFonts w:hint="eastAsia"/>
        </w:rPr>
        <w:t xml:space="preserve">年的</w:t>
      </w:r>
      <w:r>
        <w:t xml:space="preserve"> 462.5 </w:t>
      </w:r>
      <w:r>
        <w:rPr>
          <w:rFonts w:hint="eastAsia"/>
        </w:rPr>
        <w:t xml:space="preserve">百萬港元增長</w:t>
      </w:r>
      <w:r>
        <w:t xml:space="preserve"> </w:t>
      </w:r>
      <w:r>
        <w:rPr>
          <w:rFonts w:hint="eastAsia"/>
        </w:rPr>
        <w:t xml:space="preserve">5.1%，主要來自新能源汽車零部件及工業設備客戶的訂單增長；消費電子業務收入基本持平。集團繼續以東莞廠為唯一生產基地，期末僱員</w:t>
      </w:r>
      <w:r>
        <w:t xml:space="preserve"> 612 </w:t>
      </w:r>
      <w:r>
        <w:rPr>
          <w:rFonts w:hint="eastAsia"/>
        </w:rPr>
        <w:t xml:space="preserve">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應用市場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年收入佔比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年收入佔比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消費電子</w:t>
            </w:r>
          </w:p>
        </w:tc>
        <w:tc>
          <w:tcPr/>
          <w:p>
            <w:pPr>
              <w:pStyle w:val="Compact"/>
            </w:pPr>
            <w:r>
              <w:t xml:space="preserve">46%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新能源汽車零部件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工業設備及其他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</w:tr>
    </w:tbl>
    <w:bookmarkEnd w:id="9"/>
    <w:bookmarkStart w:id="10" w:name="二營運"/>
    <w:p>
      <w:pPr>
        <w:pStyle w:val="Heading2"/>
      </w:pPr>
      <w:r>
        <w:rPr>
          <w:rFonts w:hint="eastAsia"/>
        </w:rPr>
        <w:t xml:space="preserve">二、營運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沖壓車間伺服沖床替換及空壓機系統改造完成後，2025</w:t>
      </w:r>
      <w:r>
        <w:t xml:space="preserve"> </w:t>
      </w:r>
      <w:r>
        <w:rPr>
          <w:rFonts w:hint="eastAsia"/>
        </w:rPr>
        <w:t xml:space="preserve">年單位產值電力消耗較</w:t>
      </w:r>
      <w:r>
        <w:t xml:space="preserve"> 2024 </w:t>
      </w:r>
      <w:r>
        <w:rPr>
          <w:rFonts w:hint="eastAsia"/>
        </w:rPr>
        <w:t xml:space="preserve">年下降約</w:t>
      </w:r>
      <w:r>
        <w:t xml:space="preserve"> 6%。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模具中心完成新產品模具開發</w:t>
      </w:r>
      <w:r>
        <w:t xml:space="preserve"> 118 </w:t>
      </w:r>
      <w:r>
        <w:rPr>
          <w:rFonts w:hint="eastAsia"/>
        </w:rPr>
        <w:t xml:space="preserve">套，平均開發週期</w:t>
      </w:r>
      <w:r>
        <w:t xml:space="preserve"> 7.6 </w:t>
      </w:r>
      <w:r>
        <w:rPr>
          <w:rFonts w:hint="eastAsia"/>
        </w:rPr>
        <w:t xml:space="preserve">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出貨不良率</w:t>
      </w:r>
      <w:r>
        <w:t xml:space="preserve"> 38 </w:t>
      </w:r>
      <w:r>
        <w:rPr>
          <w:rFonts w:hint="eastAsia"/>
        </w:rPr>
        <w:t xml:space="preserve">ppm，客戶投訴</w:t>
      </w:r>
      <w:r>
        <w:t xml:space="preserve"> 9 </w:t>
      </w:r>
      <w:r>
        <w:rPr>
          <w:rFonts w:hint="eastAsia"/>
        </w:rPr>
        <w:t xml:space="preserve">宗，客戶滿意度</w:t>
      </w:r>
      <w:r>
        <w:t xml:space="preserve"> 92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001"/>
        </w:numPr>
      </w:pPr>
      <w:r>
        <w:t xml:space="preserve">2025 </w:t>
      </w:r>
      <w:r>
        <w:rPr>
          <w:rFonts w:hint="eastAsia"/>
        </w:rPr>
        <w:t xml:space="preserve">年資本開支約</w:t>
      </w:r>
      <w:r>
        <w:t xml:space="preserve"> 28.6 </w:t>
      </w:r>
      <w:r>
        <w:rPr>
          <w:rFonts w:hint="eastAsia"/>
        </w:rPr>
        <w:t xml:space="preserve">百萬港元，其中節能及環境相關項目約</w:t>
      </w:r>
      <w:r>
        <w:t xml:space="preserve"> 3.2 </w:t>
      </w:r>
      <w:r>
        <w:rPr>
          <w:rFonts w:hint="eastAsia"/>
        </w:rPr>
        <w:t xml:space="preserve">百萬港元，自動化及檢測設備約</w:t>
      </w:r>
      <w:r>
        <w:t xml:space="preserve"> 19.4 </w:t>
      </w:r>
      <w:r>
        <w:rPr>
          <w:rFonts w:hint="eastAsia"/>
        </w:rPr>
        <w:t xml:space="preserve">百萬港元。</w:t>
      </w:r>
    </w:p>
    <w:bookmarkEnd w:id="10"/>
    <w:bookmarkStart w:id="11" w:name="三風險與應對"/>
    <w:p>
      <w:pPr>
        <w:pStyle w:val="Heading2"/>
      </w:pPr>
      <w:r>
        <w:rPr>
          <w:rFonts w:hint="eastAsia"/>
        </w:rPr>
        <w:t xml:space="preserve">三、風險與應對</w:t>
      </w:r>
    </w:p>
    <w:p>
      <w:pPr>
        <w:pStyle w:val="FirstParagraph"/>
      </w:pPr>
      <w:r>
        <w:rPr>
          <w:rFonts w:hint="eastAsia"/>
        </w:rPr>
        <w:t xml:space="preserve">集團主要風險包括客戶集中（前五大客戶佔收入</w:t>
      </w:r>
      <w:r>
        <w:t xml:space="preserve"> </w:t>
      </w:r>
      <w:r>
        <w:rPr>
          <w:rFonts w:hint="eastAsia"/>
        </w:rPr>
        <w:t xml:space="preserve">38%）、原材料價格（銅合金帶材佔材料成本約</w:t>
      </w:r>
      <w:r>
        <w:t xml:space="preserve"> </w:t>
      </w:r>
      <w:r>
        <w:rPr>
          <w:rFonts w:hint="eastAsia"/>
        </w:rPr>
        <w:t xml:space="preserve">55%）、匯率（收入以港元、美元及人民幣計價）、氣候相關風險（颱風停產及能源價格）及供應鏈中斷。應對措施載於年度風險登記冊，由審核委員會每年檢討。</w:t>
      </w:r>
    </w:p>
    <w:bookmarkEnd w:id="11"/>
    <w:bookmarkStart w:id="12" w:name="四可持續發展相關開支"/>
    <w:p>
      <w:pPr>
        <w:pStyle w:val="Heading2"/>
      </w:pPr>
      <w:r>
        <w:rPr>
          <w:rFonts w:hint="eastAsia"/>
        </w:rPr>
        <w:t xml:space="preserve">四、可持續發展相關開支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金額（百萬港元）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節能及可再生能源項目資本開支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環境合規（監測、廢棄物處置、環保設施運維）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職業健康與安全（防護裝備、體檢、培訓、設備安全改造）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僱員培訓（含外部課程資助）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社區投資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</w:tr>
    </w:tbl>
    <w:bookmarkEnd w:id="12"/>
    <w:bookmarkStart w:id="13" w:name="五展望"/>
    <w:p>
      <w:pPr>
        <w:pStyle w:val="Heading2"/>
      </w:pPr>
      <w:r>
        <w:rPr>
          <w:rFonts w:hint="eastAsia"/>
        </w:rPr>
        <w:t xml:space="preserve">五、展望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年集團計劃：評估倉庫屋頂光伏擴建（預算約</w:t>
      </w:r>
      <w:r>
        <w:t xml:space="preserve"> 4.5 </w:t>
      </w:r>
      <w:r>
        <w:rPr>
          <w:rFonts w:hint="eastAsia"/>
        </w:rPr>
        <w:t xml:space="preserve">百萬港元）；完成氣候風險的定量敏感度分析；就溫室氣體數據委託第三方有限保證鑑證；推進範圍</w:t>
      </w:r>
      <w:r>
        <w:t xml:space="preserve"> 3 </w:t>
      </w:r>
      <w:r>
        <w:rPr>
          <w:rFonts w:hint="eastAsia"/>
        </w:rPr>
        <w:t xml:space="preserve">採購類別核算口徑；沖壓線全面推行自動廢料收集以減少切割傷。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2026-09-05T07:38:02Z</dcterms:created>
  <dcterms:modified xsi:type="dcterms:W3CDTF">2026-09-05T07:38:02Z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