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年度能源及排放台賬"/>
    <w:p>
      <w:pPr>
        <w:pStyle w:val="Heading1"/>
      </w:pPr>
      <w:r>
        <w:t xml:space="preserve">2025 </w:t>
      </w:r>
      <w:r>
        <w:rPr>
          <w:rFonts w:hint="eastAsia"/>
        </w:rPr>
        <w:t xml:space="preserve">年度能源及排放台賬</w:t>
      </w:r>
    </w:p>
    <w:p>
      <w:pPr>
        <w:pStyle w:val="FirstParagraph"/>
      </w:pPr>
      <w:r>
        <w:rPr>
          <w:rFonts w:hint="eastAsia"/>
          <w:b/>
          <w:bCs/>
        </w:rPr>
        <w:t xml:space="preserve">企業名稱</w:t>
      </w:r>
      <w:r>
        <w:rPr>
          <w:rFonts w:hint="eastAsia"/>
        </w:rPr>
        <w:t xml:space="preserve">：晉澧精密工業控股有限公司（涵蓋東莞晉澧精密電子有限公司廠區及香港總部辦公室）</w:t>
      </w:r>
      <w:r>
        <w:t xml:space="preserve"> </w:t>
      </w:r>
      <w:r>
        <w:rPr>
          <w:rFonts w:hint="eastAsia"/>
          <w:b/>
          <w:bCs/>
        </w:rPr>
        <w:t xml:space="preserve">匯報期間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日至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  <w:b/>
          <w:bCs/>
        </w:rPr>
        <w:t xml:space="preserve">編製部門</w:t>
      </w:r>
      <w:r>
        <w:rPr>
          <w:rFonts w:hint="eastAsia"/>
        </w:rPr>
        <w:t xml:space="preserve">：環境健康安全（EHS）部</w:t>
      </w:r>
      <w:r>
        <w:t xml:space="preserve"> </w:t>
      </w:r>
      <w:r>
        <w:rPr>
          <w:rFonts w:hint="eastAsia"/>
          <w:b/>
          <w:bCs/>
        </w:rPr>
        <w:t xml:space="preserve">編製日期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  <w:b/>
          <w:bCs/>
        </w:rPr>
        <w:t xml:space="preserve">審核人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主管</w:t>
      </w:r>
      <w:r>
        <w:t xml:space="preserve"> </w:t>
      </w:r>
      <w:r>
        <w:rPr>
          <w:rFonts w:hint="eastAsia"/>
        </w:rPr>
        <w:t xml:space="preserve">羅子軒</w:t>
      </w:r>
      <w:r>
        <w:t xml:space="preserve"> </w:t>
      </w:r>
      <w:r>
        <w:rPr>
          <w:rFonts w:hint="eastAsia"/>
          <w:b/>
          <w:bCs/>
        </w:rPr>
        <w:t xml:space="preserve">批准人</w:t>
      </w:r>
      <w:r>
        <w:rPr>
          <w:rFonts w:hint="eastAsia"/>
        </w:rPr>
        <w:t xml:space="preserve">：東莞廠總經理</w:t>
      </w:r>
      <w:r>
        <w:t xml:space="preserve"> </w:t>
      </w:r>
      <w:r>
        <w:rPr>
          <w:rFonts w:hint="eastAsia"/>
        </w:rPr>
        <w:t xml:space="preserve">周啟明</w:t>
      </w:r>
    </w:p>
    <w:bookmarkStart w:id="11" w:name="第一部分-能源消耗匯總"/>
    <w:p>
      <w:pPr>
        <w:pStyle w:val="Heading2"/>
      </w:pPr>
      <w:r>
        <w:rPr>
          <w:rFonts w:hint="eastAsia"/>
        </w:rPr>
        <w:t xml:space="preserve">第一部分</w:t>
      </w:r>
      <w:r>
        <w:t xml:space="preserve"> </w:t>
      </w:r>
      <w:r>
        <w:rPr>
          <w:rFonts w:hint="eastAsia"/>
        </w:rPr>
        <w:t xml:space="preserve">能源消耗匯總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消耗量（MWh）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佔比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外購電力</w:t>
            </w:r>
          </w:p>
        </w:tc>
        <w:tc>
          <w:tcPr/>
          <w:p>
            <w:pPr>
              <w:pStyle w:val="Compact"/>
            </w:pPr>
            <w:r>
              <w:t xml:space="preserve">11,920</w:t>
            </w:r>
          </w:p>
        </w:tc>
        <w:tc>
          <w:tcPr/>
          <w:p>
            <w:pPr>
              <w:pStyle w:val="Compact"/>
            </w:pPr>
            <w:r>
              <w:t xml:space="preserve">63.1%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東莞廠</w:t>
            </w:r>
            <w:r>
              <w:t xml:space="preserve"> </w:t>
            </w:r>
            <w:r>
              <w:rPr>
                <w:rFonts w:hint="eastAsia"/>
              </w:rPr>
              <w:t xml:space="preserve">11,690、香港辦公室</w:t>
            </w:r>
            <w:r>
              <w:t xml:space="preserve"> 230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屋頂光伏自發自用電力</w:t>
            </w:r>
          </w:p>
        </w:tc>
        <w:tc>
          <w:tcPr/>
          <w:p>
            <w:pPr>
              <w:pStyle w:val="Compact"/>
            </w:pPr>
            <w:r>
              <w:t xml:space="preserve">1,360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光伏年發電</w:t>
            </w:r>
            <w:r>
              <w:t xml:space="preserve"> 1,480 </w:t>
            </w:r>
            <w:r>
              <w:rPr>
                <w:rFonts w:hint="eastAsia"/>
              </w:rPr>
              <w:t xml:space="preserve">MWh，其中上網</w:t>
            </w:r>
            <w:r>
              <w:t xml:space="preserve"> 120 MWh </w:t>
            </w:r>
            <w:r>
              <w:rPr>
                <w:rFonts w:hint="eastAsia"/>
              </w:rPr>
              <w:t xml:space="preserve">不計入消耗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天然氣</w:t>
            </w:r>
          </w:p>
        </w:tc>
        <w:tc>
          <w:tcPr/>
          <w:p>
            <w:pPr>
              <w:pStyle w:val="Compact"/>
            </w:pPr>
            <w:r>
              <w:t xml:space="preserve">4,800</w:t>
            </w:r>
          </w:p>
        </w:tc>
        <w:tc>
          <w:tcPr/>
          <w:p>
            <w:pPr>
              <w:pStyle w:val="Compact"/>
            </w:pPr>
            <w:r>
              <w:t xml:space="preserve">25.4%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退火及熱處理爐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柴油</w:t>
            </w:r>
          </w:p>
        </w:tc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備用發電機、廠區貨車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汽油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1.7%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公司車輛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石油氣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0.4%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員工飯堂、叉車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18,895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能源消耗密度：18,895</w:t>
      </w:r>
      <w:r>
        <w:t xml:space="preserve"> MWh ÷ 486.2 </w:t>
      </w:r>
      <w:r>
        <w:rPr>
          <w:rFonts w:hint="eastAsia"/>
        </w:rPr>
        <w:t xml:space="preserve">百萬港元</w:t>
      </w:r>
      <w:r>
        <w:t xml:space="preserve"> =</w:t>
      </w:r>
      <w:r>
        <w:t xml:space="preserve"> </w:t>
      </w:r>
      <w:r>
        <w:rPr>
          <w:b/>
          <w:bCs/>
        </w:rPr>
        <w:t xml:space="preserve">38.9 </w:t>
      </w:r>
      <w:r>
        <w:rPr>
          <w:rFonts w:hint="eastAsia"/>
          <w:b/>
          <w:bCs/>
        </w:rPr>
        <w:t xml:space="preserve">MWh／百萬港元</w:t>
      </w:r>
      <w:r>
        <w:rPr>
          <w:rFonts w:hint="eastAsia"/>
        </w:rPr>
        <w:t xml:space="preserve">（2023</w:t>
      </w:r>
      <w:r>
        <w:t xml:space="preserve"> </w:t>
      </w:r>
      <w:r>
        <w:rPr>
          <w:rFonts w:hint="eastAsia"/>
        </w:rPr>
        <w:t xml:space="preserve">年基準</w:t>
      </w:r>
      <w:r>
        <w:t xml:space="preserve"> </w:t>
      </w:r>
      <w:r>
        <w:rPr>
          <w:rFonts w:hint="eastAsia"/>
        </w:rPr>
        <w:t xml:space="preserve">44.8，下降</w:t>
      </w:r>
      <w:r>
        <w:t xml:space="preserve"> </w:t>
      </w:r>
      <w:r>
        <w:rPr>
          <w:rFonts w:hint="eastAsia"/>
        </w:rPr>
        <w:t xml:space="preserve">13.2%）。</w:t>
      </w:r>
    </w:p>
    <w:bookmarkStart w:id="9" w:name="季度電力及天然氣消耗"/>
    <w:p>
      <w:pPr>
        <w:pStyle w:val="Heading3"/>
      </w:pPr>
      <w:r>
        <w:rPr>
          <w:rFonts w:hint="eastAsia"/>
        </w:rPr>
        <w:t xml:space="preserve">季度電力及天然氣消耗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外購電力（MWh）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光伏自用（MWh）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天然氣（MWh）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第一季</w:t>
            </w:r>
          </w:p>
        </w:tc>
        <w:tc>
          <w:tcPr/>
          <w:p>
            <w:pPr>
              <w:pStyle w:val="Compact"/>
            </w:pPr>
            <w:r>
              <w:t xml:space="preserve">2,760</w:t>
            </w:r>
          </w:p>
        </w:tc>
        <w:tc>
          <w:tcPr/>
          <w:p>
            <w:pPr>
              <w:pStyle w:val="Compact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  <w:r>
              <w:t xml:space="preserve">1,150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農曆新年停產約兩週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第二季</w:t>
            </w:r>
          </w:p>
        </w:tc>
        <w:tc>
          <w:tcPr/>
          <w:p>
            <w:pPr>
              <w:pStyle w:val="Compact"/>
            </w:pPr>
            <w:r>
              <w:t xml:space="preserve">3,010</w:t>
            </w:r>
          </w:p>
        </w:tc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1,190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第三季</w:t>
            </w:r>
          </w:p>
        </w:tc>
        <w:tc>
          <w:tcPr/>
          <w:p>
            <w:pPr>
              <w:pStyle w:val="Compact"/>
            </w:pPr>
            <w:r>
              <w:t xml:space="preserve">3,320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1,260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高溫月份空調負荷高，訂單旺季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第四季</w:t>
            </w:r>
          </w:p>
        </w:tc>
        <w:tc>
          <w:tcPr/>
          <w:p>
            <w:pPr>
              <w:pStyle w:val="Compact"/>
            </w:pPr>
            <w:r>
              <w:t xml:space="preserve">2,830</w:t>
            </w:r>
          </w:p>
        </w:tc>
        <w:tc>
          <w:tcPr/>
          <w:p>
            <w:pPr>
              <w:pStyle w:val="Compact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11,920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1,360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4,800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季度燃料消耗"/>
    <w:p>
      <w:pPr>
        <w:pStyle w:val="Heading3"/>
      </w:pPr>
      <w:r>
        <w:rPr>
          <w:rFonts w:hint="eastAsia"/>
        </w:rPr>
        <w:t xml:space="preserve">季度燃料消耗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柴油（MWh）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汽油（MWh）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石油氣（MWh）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第一季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第二季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第三季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第四季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換算基準：天然氣按低位發熱量</w:t>
      </w:r>
      <w:r>
        <w:t xml:space="preserve"> 35.6 MJ/m³ </w:t>
      </w:r>
      <w:r>
        <w:rPr>
          <w:rFonts w:hint="eastAsia"/>
        </w:rPr>
        <w:t xml:space="preserve">折算，全年用量約</w:t>
      </w:r>
      <w:r>
        <w:t xml:space="preserve"> 48.5 </w:t>
      </w:r>
      <w:r>
        <w:rPr>
          <w:rFonts w:hint="eastAsia"/>
        </w:rPr>
        <w:t xml:space="preserve">萬立方米；柴油按</w:t>
      </w:r>
      <w:r>
        <w:t xml:space="preserve"> 10.0 </w:t>
      </w:r>
      <w:r>
        <w:rPr>
          <w:rFonts w:hint="eastAsia"/>
        </w:rPr>
        <w:t xml:space="preserve">kWh/L，全年約</w:t>
      </w:r>
      <w:r>
        <w:t xml:space="preserve"> 4.1 </w:t>
      </w:r>
      <w:r>
        <w:rPr>
          <w:rFonts w:hint="eastAsia"/>
        </w:rPr>
        <w:t xml:space="preserve">萬升；汽油按</w:t>
      </w:r>
      <w:r>
        <w:t xml:space="preserve"> 9.1 </w:t>
      </w:r>
      <w:r>
        <w:rPr>
          <w:rFonts w:hint="eastAsia"/>
        </w:rPr>
        <w:t xml:space="preserve">kWh/L，全年約</w:t>
      </w:r>
      <w:r>
        <w:t xml:space="preserve"> 3.5 </w:t>
      </w:r>
      <w:r>
        <w:rPr>
          <w:rFonts w:hint="eastAsia"/>
        </w:rPr>
        <w:t xml:space="preserve">萬升；石油氣按</w:t>
      </w:r>
      <w:r>
        <w:t xml:space="preserve"> 12.9 </w:t>
      </w:r>
      <w:r>
        <w:rPr>
          <w:rFonts w:hint="eastAsia"/>
        </w:rPr>
        <w:t xml:space="preserve">kWh/kg，全年約</w:t>
      </w:r>
      <w:r>
        <w:t xml:space="preserve"> 6.6 </w:t>
      </w:r>
      <w:r>
        <w:rPr>
          <w:rFonts w:hint="eastAsia"/>
        </w:rPr>
        <w:t xml:space="preserve">噸。</w:t>
      </w:r>
    </w:p>
    <w:bookmarkEnd w:id="10"/>
    <w:bookmarkEnd w:id="11"/>
    <w:bookmarkStart w:id="15" w:name="第二部分-溫室氣體排放"/>
    <w:p>
      <w:pPr>
        <w:pStyle w:val="Heading2"/>
      </w:pPr>
      <w:r>
        <w:rPr>
          <w:rFonts w:hint="eastAsia"/>
        </w:rPr>
        <w:t xml:space="preserve">第二部分</w:t>
      </w:r>
      <w:r>
        <w:t xml:space="preserve"> </w:t>
      </w:r>
      <w:r>
        <w:rPr>
          <w:rFonts w:hint="eastAsia"/>
        </w:rPr>
        <w:t xml:space="preserve">溫室氣體排放</w:t>
      </w:r>
    </w:p>
    <w:p>
      <w:pPr>
        <w:pStyle w:val="FirstParagraph"/>
      </w:pPr>
      <w:r>
        <w:rPr>
          <w:rFonts w:hint="eastAsia"/>
        </w:rPr>
        <w:t xml:space="preserve">核算準則：《溫室氣體核算體系》（GHG</w:t>
      </w:r>
      <w:r>
        <w:t xml:space="preserve"> </w:t>
      </w:r>
      <w:r>
        <w:rPr>
          <w:rFonts w:hint="eastAsia"/>
        </w:rPr>
        <w:t xml:space="preserve">Protocol）企業核算與報告標準；範圍</w:t>
      </w:r>
      <w:r>
        <w:t xml:space="preserve"> 2 </w:t>
      </w:r>
      <w:r>
        <w:rPr>
          <w:rFonts w:hint="eastAsia"/>
        </w:rPr>
        <w:t xml:space="preserve">採用地點法。組織邊界為營運控制權法，涵蓋東莞廠及香港辦公室。</w:t>
      </w:r>
    </w:p>
    <w:bookmarkStart w:id="12" w:name="範圍-1直接排放"/>
    <w:p>
      <w:pPr>
        <w:pStyle w:val="Heading3"/>
      </w:pPr>
      <w:r>
        <w:rPr>
          <w:rFonts w:hint="eastAsia"/>
        </w:rPr>
        <w:t xml:space="preserve">範圍</w:t>
      </w:r>
      <w:r>
        <w:t xml:space="preserve"> </w:t>
      </w:r>
      <w:r>
        <w:rPr>
          <w:rFonts w:hint="eastAsia"/>
        </w:rPr>
        <w:t xml:space="preserve">1（直接排放）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活動數據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排放量（tCO₂e）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天然氣（退火及熱處理爐）</w:t>
            </w:r>
          </w:p>
        </w:tc>
        <w:tc>
          <w:tcPr/>
          <w:p>
            <w:pPr>
              <w:pStyle w:val="Compact"/>
            </w:pPr>
            <w:r>
              <w:t xml:space="preserve">4,800 MWh</w:t>
            </w:r>
          </w:p>
        </w:tc>
        <w:tc>
          <w:tcPr/>
          <w:p>
            <w:pPr>
              <w:pStyle w:val="Compact"/>
            </w:pPr>
            <w:r>
              <w:t xml:space="preserve">0.2016 tCO₂e/MWh</w:t>
            </w:r>
          </w:p>
        </w:tc>
        <w:tc>
          <w:tcPr/>
          <w:p>
            <w:pPr>
              <w:pStyle w:val="Compact"/>
            </w:pPr>
            <w:r>
              <w:t xml:space="preserve">968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柴油（發電機、貨車）</w:t>
            </w:r>
          </w:p>
        </w:tc>
        <w:tc>
          <w:tcPr/>
          <w:p>
            <w:pPr>
              <w:pStyle w:val="Compact"/>
            </w:pPr>
            <w:r>
              <w:t xml:space="preserve">410 MWh</w:t>
            </w:r>
          </w:p>
        </w:tc>
        <w:tc>
          <w:tcPr/>
          <w:p>
            <w:pPr>
              <w:pStyle w:val="Compact"/>
            </w:pPr>
            <w:r>
              <w:t xml:space="preserve">0.2665 tCO₂e/MWh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汽油（公司車輛）</w:t>
            </w:r>
          </w:p>
        </w:tc>
        <w:tc>
          <w:tcPr/>
          <w:p>
            <w:pPr>
              <w:pStyle w:val="Compact"/>
            </w:pPr>
            <w:r>
              <w:t xml:space="preserve">320 MWh</w:t>
            </w:r>
          </w:p>
        </w:tc>
        <w:tc>
          <w:tcPr/>
          <w:p>
            <w:pPr>
              <w:pStyle w:val="Compact"/>
            </w:pPr>
            <w:r>
              <w:t xml:space="preserve">0.2496 tCO₂e/MWh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石油氣（飯堂、叉車）</w:t>
            </w:r>
          </w:p>
        </w:tc>
        <w:tc>
          <w:tcPr/>
          <w:p>
            <w:pPr>
              <w:pStyle w:val="Compact"/>
            </w:pPr>
            <w:r>
              <w:t xml:space="preserve">85 MWh</w:t>
            </w:r>
          </w:p>
        </w:tc>
        <w:tc>
          <w:tcPr/>
          <w:p>
            <w:pPr>
              <w:pStyle w:val="Compact"/>
            </w:pPr>
            <w:r>
              <w:t xml:space="preserve">0.2270 tCO₂e/MWh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製冷劑逸散（空調補充</w:t>
            </w:r>
            <w:r>
              <w:t xml:space="preserve"> </w:t>
            </w:r>
            <w:r>
              <w:rPr>
                <w:rFonts w:hint="eastAsia"/>
              </w:rPr>
              <w:t xml:space="preserve">R-410A）</w:t>
            </w:r>
          </w:p>
        </w:tc>
        <w:tc>
          <w:tcPr/>
          <w:p>
            <w:pPr>
              <w:pStyle w:val="Compact"/>
            </w:pPr>
            <w:r>
              <w:t xml:space="preserve">30.6 kg</w:t>
            </w:r>
          </w:p>
        </w:tc>
        <w:tc>
          <w:tcPr/>
          <w:p>
            <w:pPr>
              <w:pStyle w:val="Compact"/>
            </w:pPr>
            <w:r>
              <w:t xml:space="preserve">GWP 2,088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範圍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1,240</w:t>
            </w:r>
          </w:p>
        </w:tc>
      </w:tr>
    </w:tbl>
    <w:bookmarkEnd w:id="12"/>
    <w:bookmarkStart w:id="13" w:name="範圍-2能源間接排放"/>
    <w:p>
      <w:pPr>
        <w:pStyle w:val="Heading3"/>
      </w:pPr>
      <w:r>
        <w:rPr>
          <w:rFonts w:hint="eastAsia"/>
        </w:rPr>
        <w:t xml:space="preserve">範圍</w:t>
      </w:r>
      <w:r>
        <w:t xml:space="preserve"> </w:t>
      </w:r>
      <w:r>
        <w:rPr>
          <w:rFonts w:hint="eastAsia"/>
        </w:rPr>
        <w:t xml:space="preserve">2（能源間接排放）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活動數據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排放量（tCO₂e）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外購電力（東莞廠及香港辦公室）</w:t>
            </w:r>
          </w:p>
        </w:tc>
        <w:tc>
          <w:tcPr/>
          <w:p>
            <w:pPr>
              <w:pStyle w:val="Compact"/>
            </w:pPr>
            <w:r>
              <w:t xml:space="preserve">11,920 MWh</w:t>
            </w:r>
          </w:p>
        </w:tc>
        <w:tc>
          <w:tcPr/>
          <w:p>
            <w:pPr>
              <w:pStyle w:val="Compact"/>
            </w:pPr>
            <w:r>
              <w:t xml:space="preserve">0.5730 tCO₂e/MWh</w:t>
            </w:r>
          </w:p>
        </w:tc>
        <w:tc>
          <w:tcPr/>
          <w:p>
            <w:pPr>
              <w:pStyle w:val="Compact"/>
            </w:pPr>
            <w:r>
              <w:t xml:space="preserve">6,830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排放因子採用廣東電網區域因子（示例值）；香港辦公室用電量佔比不足</w:t>
      </w:r>
      <w:r>
        <w:t xml:space="preserve"> </w:t>
      </w:r>
      <w:r>
        <w:rPr>
          <w:rFonts w:hint="eastAsia"/>
        </w:rPr>
        <w:t xml:space="preserve">2%，為簡化統一採用同一因子。光伏自發自用電力排放計為零。</w:t>
      </w:r>
    </w:p>
    <w:bookmarkEnd w:id="13"/>
    <w:bookmarkStart w:id="14" w:name="匯總與密度"/>
    <w:p>
      <w:pPr>
        <w:pStyle w:val="Heading3"/>
      </w:pPr>
      <w:r>
        <w:rPr>
          <w:rFonts w:hint="eastAsia"/>
        </w:rPr>
        <w:t xml:space="preserve">匯總與密度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年（基準年）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範圍</w:t>
            </w:r>
            <w:r>
              <w:t xml:space="preserve"> </w:t>
            </w:r>
            <w:r>
              <w:rPr>
                <w:rFonts w:hint="eastAsia"/>
              </w:rPr>
              <w:t xml:space="preserve">1（tCO₂e）</w:t>
            </w:r>
          </w:p>
        </w:tc>
        <w:tc>
          <w:tcPr/>
          <w:p>
            <w:pPr>
              <w:pStyle w:val="Compact"/>
            </w:pPr>
            <w:r>
              <w:t xml:space="preserve">1,310</w:t>
            </w:r>
          </w:p>
        </w:tc>
        <w:tc>
          <w:tcPr/>
          <w:p>
            <w:pPr>
              <w:pStyle w:val="Compact"/>
            </w:pPr>
            <w:r>
              <w:t xml:space="preserve">1,290</w:t>
            </w:r>
          </w:p>
        </w:tc>
        <w:tc>
          <w:tcPr/>
          <w:p>
            <w:pPr>
              <w:pStyle w:val="Compact"/>
            </w:pPr>
            <w:r>
              <w:t xml:space="preserve">1,240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範圍</w:t>
            </w:r>
            <w:r>
              <w:t xml:space="preserve"> </w:t>
            </w:r>
            <w:r>
              <w:rPr>
                <w:rFonts w:hint="eastAsia"/>
              </w:rPr>
              <w:t xml:space="preserve">2（tCO₂e）</w:t>
            </w:r>
          </w:p>
        </w:tc>
        <w:tc>
          <w:tcPr/>
          <w:p>
            <w:pPr>
              <w:pStyle w:val="Compact"/>
            </w:pPr>
            <w:r>
              <w:t xml:space="preserve">8,120</w:t>
            </w:r>
          </w:p>
        </w:tc>
        <w:tc>
          <w:tcPr/>
          <w:p>
            <w:pPr>
              <w:pStyle w:val="Compact"/>
            </w:pPr>
            <w:r>
              <w:t xml:space="preserve">7,460</w:t>
            </w:r>
          </w:p>
        </w:tc>
        <w:tc>
          <w:tcPr/>
          <w:p>
            <w:pPr>
              <w:pStyle w:val="Compact"/>
            </w:pPr>
            <w:r>
              <w:t xml:space="preserve">6,830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範圍</w:t>
            </w:r>
            <w:r>
              <w:t xml:space="preserve"> 1 + </w:t>
            </w:r>
            <w:r>
              <w:rPr>
                <w:rFonts w:hint="eastAsia"/>
              </w:rPr>
              <w:t xml:space="preserve">2（tCO₂e）</w:t>
            </w:r>
          </w:p>
        </w:tc>
        <w:tc>
          <w:tcPr/>
          <w:p>
            <w:pPr>
              <w:pStyle w:val="Compact"/>
            </w:pPr>
            <w:r>
              <w:t xml:space="preserve">9,430</w:t>
            </w:r>
          </w:p>
        </w:tc>
        <w:tc>
          <w:tcPr/>
          <w:p>
            <w:pPr>
              <w:pStyle w:val="Compact"/>
            </w:pPr>
            <w:r>
              <w:t xml:space="preserve">8,750</w:t>
            </w:r>
          </w:p>
        </w:tc>
        <w:tc>
          <w:tcPr/>
          <w:p>
            <w:pPr>
              <w:pStyle w:val="Compact"/>
            </w:pPr>
            <w:r>
              <w:t xml:space="preserve">8,070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營業收入（百萬港元）</w:t>
            </w:r>
          </w:p>
        </w:tc>
        <w:tc>
          <w:tcPr/>
          <w:p>
            <w:pPr>
              <w:pStyle w:val="Compact"/>
            </w:pPr>
            <w:r>
              <w:t xml:space="preserve">440.6</w:t>
            </w:r>
          </w:p>
        </w:tc>
        <w:tc>
          <w:tcPr/>
          <w:p>
            <w:pPr>
              <w:pStyle w:val="Compact"/>
            </w:pPr>
            <w:r>
              <w:t xml:space="preserve">462.5</w:t>
            </w:r>
          </w:p>
        </w:tc>
        <w:tc>
          <w:tcPr/>
          <w:p>
            <w:pPr>
              <w:pStyle w:val="Compact"/>
            </w:pPr>
            <w:r>
              <w:t xml:space="preserve">486.2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排放密度（tCO₂e／百萬港元）</w:t>
            </w:r>
          </w:p>
        </w:tc>
        <w:tc>
          <w:tcPr/>
          <w:p>
            <w:pPr>
              <w:pStyle w:val="Compact"/>
            </w:pPr>
            <w:r>
              <w:t xml:space="preserve">21.4</w:t>
            </w:r>
          </w:p>
        </w:tc>
        <w:tc>
          <w:tcPr/>
          <w:p>
            <w:pPr>
              <w:pStyle w:val="Compact"/>
            </w:pPr>
            <w:r>
              <w:t xml:space="preserve">18.9</w:t>
            </w:r>
          </w:p>
        </w:tc>
        <w:tc>
          <w:tcPr/>
          <w:p>
            <w:pPr>
              <w:pStyle w:val="Compact"/>
            </w:pPr>
            <w:r>
              <w:t xml:space="preserve">16.6</w:t>
            </w:r>
          </w:p>
        </w:tc>
      </w:tr>
    </w:tbl>
    <w:p>
      <w:pPr>
        <w:pStyle w:val="BodyText"/>
      </w:pPr>
      <w:r>
        <w:t xml:space="preserve">2025 </w:t>
      </w:r>
      <w:r>
        <w:rPr>
          <w:rFonts w:hint="eastAsia"/>
        </w:rPr>
        <w:t xml:space="preserve">年排放密度較</w:t>
      </w:r>
      <w:r>
        <w:t xml:space="preserve"> 2023 </w:t>
      </w:r>
      <w:r>
        <w:rPr>
          <w:rFonts w:hint="eastAsia"/>
        </w:rPr>
        <w:t xml:space="preserve">年基準下降</w:t>
      </w:r>
      <w:r>
        <w:t xml:space="preserve"> </w:t>
      </w:r>
      <w:r>
        <w:rPr>
          <w:rFonts w:hint="eastAsia"/>
        </w:rPr>
        <w:t xml:space="preserve">22.4%，董事會批准的</w:t>
      </w:r>
      <w:r>
        <w:t xml:space="preserve"> 2030 </w:t>
      </w:r>
      <w:r>
        <w:rPr>
          <w:rFonts w:hint="eastAsia"/>
        </w:rPr>
        <w:t xml:space="preserve">年目標為下降</w:t>
      </w:r>
      <w:r>
        <w:t xml:space="preserve"> </w:t>
      </w:r>
      <w:r>
        <w:rPr>
          <w:rFonts w:hint="eastAsia"/>
        </w:rPr>
        <w:t xml:space="preserve">30%。減排主要來自</w:t>
      </w:r>
      <w:r>
        <w:t xml:space="preserve"> 2023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月投運的屋頂光伏、2024</w:t>
      </w:r>
      <w:r>
        <w:t xml:space="preserve"> </w:t>
      </w:r>
      <w:r>
        <w:rPr>
          <w:rFonts w:hint="eastAsia"/>
        </w:rPr>
        <w:t xml:space="preserve">年沖壓車間伺服沖床替換及</w:t>
      </w:r>
      <w:r>
        <w:t xml:space="preserve"> 2025 </w:t>
      </w:r>
      <w:r>
        <w:rPr>
          <w:rFonts w:hint="eastAsia"/>
        </w:rPr>
        <w:t xml:space="preserve">年空壓機系統改造。</w:t>
      </w:r>
    </w:p>
    <w:p>
      <w:pPr>
        <w:pStyle w:val="BodyText"/>
      </w:pPr>
      <w:r>
        <w:rPr>
          <w:rFonts w:hint="eastAsia"/>
          <w:b/>
          <w:bCs/>
        </w:rPr>
        <w:t xml:space="preserve">範圍</w:t>
      </w:r>
      <w:r>
        <w:rPr>
          <w:b/>
          <w:bCs/>
        </w:rPr>
        <w:t xml:space="preserve"> 3</w:t>
      </w:r>
      <w:r>
        <w:rPr>
          <w:rFonts w:hint="eastAsia"/>
        </w:rPr>
        <w:t xml:space="preserve">：集團正在建立採購原材料、上下游運輸及僱員通勤的核算口徑，本年度不披露數值。</w:t>
      </w:r>
    </w:p>
    <w:bookmarkEnd w:id="14"/>
    <w:bookmarkEnd w:id="15"/>
    <w:bookmarkStart w:id="16" w:name="第三部分-廢氣排放守則-a1.1"/>
    <w:p>
      <w:pPr>
        <w:pStyle w:val="Heading2"/>
      </w:pPr>
      <w:r>
        <w:rPr>
          <w:rFonts w:hint="eastAsia"/>
        </w:rPr>
        <w:t xml:space="preserve">第三部分</w:t>
      </w:r>
      <w:r>
        <w:t xml:space="preserve"> </w:t>
      </w:r>
      <w:r>
        <w:rPr>
          <w:rFonts w:hint="eastAsia"/>
        </w:rPr>
        <w:t xml:space="preserve">廢氣排放（守則</w:t>
      </w:r>
      <w:r>
        <w:t xml:space="preserve"> </w:t>
      </w:r>
      <w:r>
        <w:rPr>
          <w:rFonts w:hint="eastAsia"/>
        </w:rPr>
        <w:t xml:space="preserve">A1.1）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排放量（kg）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來源與計算方法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氮氧化物（NOx）</w:t>
            </w:r>
          </w:p>
        </w:tc>
        <w:tc>
          <w:tcPr/>
          <w:p>
            <w:pPr>
              <w:pStyle w:val="Compact"/>
            </w:pPr>
            <w:r>
              <w:t xml:space="preserve">1,860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熱處理爐</w:t>
            </w:r>
            <w:r>
              <w:t xml:space="preserve"> </w:t>
            </w:r>
            <w:r>
              <w:rPr>
                <w:rFonts w:hint="eastAsia"/>
              </w:rPr>
              <w:t xml:space="preserve">1,555（第三方監測濃度</w:t>
            </w:r>
            <w:r>
              <w:t xml:space="preserve"> × </w:t>
            </w:r>
            <w:r>
              <w:rPr>
                <w:rFonts w:hint="eastAsia"/>
              </w:rPr>
              <w:t xml:space="preserve">煙氣量）；車輛</w:t>
            </w:r>
            <w:r>
              <w:t xml:space="preserve"> </w:t>
            </w:r>
            <w:r>
              <w:rPr>
                <w:rFonts w:hint="eastAsia"/>
              </w:rPr>
              <w:t xml:space="preserve">305（按燃料量及排放因子）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硫氧化物（SOx）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柴油及汽油含硫量計算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顆粒物（PM）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熱處理爐</w:t>
            </w:r>
            <w:r>
              <w:t xml:space="preserve"> </w:t>
            </w:r>
            <w:r>
              <w:rPr>
                <w:rFonts w:hint="eastAsia"/>
              </w:rPr>
              <w:t xml:space="preserve">60（監測）；車輛</w:t>
            </w:r>
            <w:r>
              <w:t xml:space="preserve"> </w:t>
            </w:r>
            <w:r>
              <w:rPr>
                <w:rFonts w:hint="eastAsia"/>
              </w:rPr>
              <w:t xml:space="preserve">36（因子法）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揮發性有機化合物（VOC）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清洗及脫脂工序</w:t>
            </w:r>
            <w:r>
              <w:t xml:space="preserve"> </w:t>
            </w:r>
            <w:r>
              <w:rPr>
                <w:rFonts w:hint="eastAsia"/>
              </w:rPr>
              <w:t xml:space="preserve">290（溶劑用量物料衡算，扣除活性炭吸附）；車輛</w:t>
            </w:r>
            <w:r>
              <w:t xml:space="preserve"> 50</w:t>
            </w:r>
          </w:p>
        </w:tc>
      </w:tr>
    </w:tbl>
    <w:bookmarkEnd w:id="16"/>
    <w:bookmarkStart w:id="17" w:name="第四部分-計量與核查"/>
    <w:p>
      <w:pPr>
        <w:pStyle w:val="Heading2"/>
      </w:pPr>
      <w:r>
        <w:rPr>
          <w:rFonts w:hint="eastAsia"/>
        </w:rPr>
        <w:t xml:space="preserve">第四部分</w:t>
      </w:r>
      <w:r>
        <w:t xml:space="preserve"> </w:t>
      </w:r>
      <w:r>
        <w:rPr>
          <w:rFonts w:hint="eastAsia"/>
        </w:rPr>
        <w:t xml:space="preserve">計量與核查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計量點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校準有效期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廠區總進線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電力公司計費電錶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供電方定期校驗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沖壓車間、注塑車間、熱處理、公用設施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分項電錶</w:t>
            </w:r>
            <w:r>
              <w:t xml:space="preserve"> 4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5 </w:t>
            </w:r>
            <w:r>
              <w:rPr>
                <w:rFonts w:hint="eastAsia"/>
              </w:rPr>
              <w:t xml:space="preserve">月校準，有效至</w:t>
            </w:r>
            <w:r>
              <w:t xml:space="preserve"> 2027 </w:t>
            </w:r>
            <w:r>
              <w:rPr>
                <w:rFonts w:hint="eastAsia"/>
              </w:rPr>
              <w:t xml:space="preserve">年</w:t>
            </w:r>
            <w:r>
              <w:t xml:space="preserve"> 5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燃氣公司計費表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供氣方定期校驗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併網逆變器計量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隨設備維護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數據每月由</w:t>
      </w:r>
      <w:r>
        <w:t xml:space="preserve"> EHS </w:t>
      </w:r>
      <w:r>
        <w:rPr>
          <w:rFonts w:hint="eastAsia"/>
        </w:rPr>
        <w:t xml:space="preserve">部匯總、每季由生產部複核。2025</w:t>
      </w:r>
      <w:r>
        <w:t xml:space="preserve"> </w:t>
      </w:r>
      <w:r>
        <w:rPr>
          <w:rFonts w:hint="eastAsia"/>
        </w:rPr>
        <w:t xml:space="preserve">年度數據未經第三方鑑證；集團計劃於</w:t>
      </w:r>
      <w:r>
        <w:t xml:space="preserve"> 2026 </w:t>
      </w:r>
      <w:r>
        <w:rPr>
          <w:rFonts w:hint="eastAsia"/>
        </w:rPr>
        <w:t xml:space="preserve">年就溫室氣體數據委託第三方進行有限保證鑑證。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2026-09-05T07:38:02Z</dcterms:created>
  <dcterms:modified xsi:type="dcterms:W3CDTF">2026-09-05T07:38:02Z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