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广告与宣传材料合规审查规程"/>
    <w:p>
      <w:pPr>
        <w:pStyle w:val="Heading1"/>
      </w:pPr>
      <w:r>
        <w:rPr>
          <w:rFonts w:hint="eastAsia"/>
        </w:rPr>
        <w:t xml:space="preserve">广告与宣传材料合规审查规程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：SY-LEG-002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：晟原精密电子股份有限公司所有商业广告、宣传材料与对外发表的信息</w:t>
      </w:r>
    </w:p>
    <w:p>
      <w:r>
        <w:pict>
          <v:rect style="width:0;height:1.5pt" o:hralign="center" o:hrstd="t" o:hr="t"/>
        </w:pict>
      </w:r>
    </w:p>
    <w:bookmarkStart w:id="12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第一条-目的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为规范公司对外发布的广告、宣传物料与新闻稿件，防止虚假宣传、商业诋毁、侵权风险，维护公司声誉与法律合规性，制定本规程。</w:t>
      </w:r>
    </w:p>
    <w:bookmarkEnd w:id="9"/>
    <w:bookmarkStart w:id="10" w:name="第二条-适用范围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本规程覆盖：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产品广告</w:t>
      </w:r>
      <w:r>
        <w:rPr>
          <w:rFonts w:hint="eastAsia"/>
        </w:rPr>
        <w:t xml:space="preserve">：产品手册、规格书、技术参数、性能对标表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企业宣传</w:t>
      </w:r>
      <w:r>
        <w:rPr>
          <w:rFonts w:hint="eastAsia"/>
        </w:rPr>
        <w:t xml:space="preserve">：企业介绍、品牌故事、获奖证书、合作案例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内容发布</w:t>
      </w:r>
      <w:r>
        <w:rPr>
          <w:rFonts w:hint="eastAsia"/>
        </w:rPr>
        <w:t xml:space="preserve">：官网文章、微信公众号推文、行业媒体投稿、社交平台内容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营销材料</w:t>
      </w:r>
      <w:r>
        <w:rPr>
          <w:rFonts w:hint="eastAsia"/>
        </w:rPr>
        <w:t xml:space="preserve">：展会物料、销售PPT、客户提案、合同附件中的产品描述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新闻稿</w:t>
      </w:r>
      <w:r>
        <w:rPr>
          <w:rFonts w:hint="eastAsia"/>
        </w:rPr>
        <w:t xml:space="preserve">：媒体发布稿、融资声明、并购公告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视频与多媒体</w:t>
      </w:r>
      <w:r>
        <w:rPr>
          <w:rFonts w:hint="eastAsia"/>
        </w:rPr>
        <w:t xml:space="preserve">：产品演示视频、企业宣传片、直播内容</w:t>
      </w:r>
    </w:p>
    <w:bookmarkEnd w:id="10"/>
    <w:bookmarkStart w:id="11" w:name="第三条-合规原则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合规原则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真实性</w:t>
      </w:r>
      <w:r>
        <w:rPr>
          <w:rFonts w:hint="eastAsia"/>
        </w:rPr>
        <w:t xml:space="preserve">：所有承诺、数据、案例必须真实存在，不得编造或夸大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：技术参数、性能指标、认证证书必须准确无误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合法性</w:t>
      </w:r>
      <w:r>
        <w:rPr>
          <w:rFonts w:hint="eastAsia"/>
        </w:rPr>
        <w:t xml:space="preserve">：不得涉及国家禁区、虚假许可、侵犯他人权益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可证明性</w:t>
      </w:r>
      <w:r>
        <w:rPr>
          <w:rFonts w:hint="eastAsia"/>
        </w:rPr>
        <w:t xml:space="preserve">：关键信息应附带证据支撑（证书、测试报告、客户证明等）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利益相关方保护</w:t>
      </w:r>
      <w:r>
        <w:rPr>
          <w:rFonts w:hint="eastAsia"/>
        </w:rPr>
        <w:t xml:space="preserve">：不得诋毁竞争对手或违反商业秘密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第二章-审查流程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审查流程</w:t>
      </w:r>
    </w:p>
    <w:bookmarkStart w:id="13" w:name="第四条-流程概述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流程概述</w:t>
      </w:r>
    </w:p>
    <w:p>
      <w:pPr>
        <w:pStyle w:val="FirstParagraph"/>
      </w:pPr>
      <w:r>
        <w:rPr>
          <w:rFonts w:hint="eastAsia"/>
        </w:rPr>
        <w:t xml:space="preserve">广告与宣传材料从提交到发布需经过</w:t>
      </w:r>
      <w:r>
        <w:t xml:space="preserve"> 5-8 </w:t>
      </w:r>
      <w:r>
        <w:rPr>
          <w:rFonts w:hint="eastAsia"/>
        </w:rPr>
        <w:t xml:space="preserve">个环节，每个环节有明确的责任方与判定标准。以下流程适用于所有新增或重大修改的材料；日常社交媒体内容、简短回复等可简化审查。</w:t>
      </w:r>
    </w:p>
    <w:bookmarkEnd w:id="13"/>
    <w:bookmarkStart w:id="14" w:name="第五条-第一环素材提交与初步信息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第一环：素材提交与初步信息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：市场部</w:t>
      </w:r>
      <w:r>
        <w:t xml:space="preserve"> / </w:t>
      </w:r>
      <w:r>
        <w:rPr>
          <w:rFonts w:hint="eastAsia"/>
        </w:rPr>
        <w:t xml:space="preserve">各业务线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：各部门材料负责人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素材提交方式：通过专用邮箱</w:t>
      </w:r>
      <w:r>
        <w:t xml:space="preserve"> (marketing-review@example-shengyuan.com) </w:t>
      </w:r>
      <w:r>
        <w:rPr>
          <w:rFonts w:hint="eastAsia"/>
        </w:rPr>
        <w:t xml:space="preserve">或在线表单提交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提交材料包含：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完整的广告文案与视觉稿（或草稿）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关键数据与承诺来源说明（关键指标附带支撑文件，如第三方测试报告、ISO</w:t>
      </w:r>
      <w:r>
        <w:t xml:space="preserve"> </w:t>
      </w:r>
      <w:r>
        <w:rPr>
          <w:rFonts w:hint="eastAsia"/>
        </w:rPr>
        <w:t xml:space="preserve">认证证书等）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目标发布渠道与发布时间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是否涉及产品性能对标或竞争对手提及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发布方的签字确认（表明材料准确性）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初步检查清单：</w:t>
      </w:r>
    </w:p>
    <w:p>
      <w:pPr>
        <w:pStyle w:val="Compact"/>
        <w:numPr>
          <w:ilvl w:val="1"/>
          <w:numId w:val="1005"/>
        </w:numPr>
      </w:pPr>
      <w:r>
        <w:t xml:space="preserve">☐ </w:t>
      </w:r>
      <w:r>
        <w:rPr>
          <w:rFonts w:hint="eastAsia"/>
        </w:rPr>
        <w:t xml:space="preserve">材料完整，无缺失版本</w:t>
      </w:r>
    </w:p>
    <w:p>
      <w:pPr>
        <w:pStyle w:val="Compact"/>
        <w:numPr>
          <w:ilvl w:val="1"/>
          <w:numId w:val="1005"/>
        </w:numPr>
      </w:pPr>
      <w:r>
        <w:t xml:space="preserve">☐ </w:t>
      </w:r>
      <w:r>
        <w:rPr>
          <w:rFonts w:hint="eastAsia"/>
        </w:rPr>
        <w:t xml:space="preserve">数据来源标注清晰</w:t>
      </w:r>
    </w:p>
    <w:p>
      <w:pPr>
        <w:pStyle w:val="Compact"/>
        <w:numPr>
          <w:ilvl w:val="1"/>
          <w:numId w:val="1005"/>
        </w:numPr>
      </w:pPr>
      <w:r>
        <w:t xml:space="preserve">☐ </w:t>
      </w:r>
      <w:r>
        <w:rPr>
          <w:rFonts w:hint="eastAsia"/>
        </w:rPr>
        <w:t xml:space="preserve">无明显错别字与格式错误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若清单不符，退回修改</w:t>
      </w:r>
    </w:p>
    <w:bookmarkEnd w:id="14"/>
    <w:bookmarkStart w:id="15" w:name="第六条-第二环合规初审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第二环：合规初审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：法务部</w:t>
      </w:r>
      <w:r>
        <w:t xml:space="preserve"> / </w:t>
      </w:r>
      <w:r>
        <w:rPr>
          <w:rFonts w:hint="eastAsia"/>
        </w:rPr>
        <w:t xml:space="preserve">合规岗位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：法务合规专员秦朗</w:t>
      </w:r>
    </w:p>
    <w:p>
      <w:pPr>
        <w:pStyle w:val="BodyText"/>
      </w:pPr>
      <w:r>
        <w:rPr>
          <w:rFonts w:hint="eastAsia"/>
          <w:b/>
          <w:bCs/>
        </w:rPr>
        <w:t xml:space="preserve">审查周期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个工作日</w:t>
      </w:r>
    </w:p>
    <w:p>
      <w:pPr>
        <w:pStyle w:val="BodyText"/>
      </w:pPr>
      <w:r>
        <w:rPr>
          <w:rFonts w:hint="eastAsia"/>
          <w:b/>
          <w:bCs/>
        </w:rPr>
        <w:t xml:space="preserve">审查内容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虚假宣传审查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是否存在夸大、虚假、无法证明的承诺（如”行业第一”、</w:t>
      </w:r>
      <w:r>
        <w:rPr>
          <w:rFonts w:hint="eastAsia"/>
        </w:rPr>
        <w:t xml:space="preserve">“最快”</w:t>
      </w:r>
      <w:r>
        <w:t xml:space="preserve">、</w:t>
      </w:r>
      <w:r>
        <w:rPr>
          <w:rFonts w:hint="eastAsia"/>
        </w:rPr>
        <w:t xml:space="preserve">“最安全”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产品参数、性能指标是否与实际测试或规格书一致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是否隐瞒重要限制条件或前置条件（如”仅限特定环境”</w:t>
      </w:r>
      <w:r>
        <w:rPr>
          <w:rFonts w:hint="eastAsia"/>
        </w:rPr>
        <w:t xml:space="preserve">“需额外配件”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判定标准：合规</w:t>
      </w:r>
      <w:r>
        <w:t xml:space="preserve"> / </w:t>
      </w:r>
      <w:r>
        <w:rPr>
          <w:rFonts w:hint="eastAsia"/>
        </w:rPr>
        <w:t xml:space="preserve">存在风险需修改</w:t>
      </w:r>
      <w:r>
        <w:t xml:space="preserve"> / </w:t>
      </w:r>
      <w:r>
        <w:rPr>
          <w:rFonts w:hint="eastAsia"/>
        </w:rPr>
        <w:t xml:space="preserve">高风险必须删除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商业诋毁审查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是否存在对竞争对手或其他企业的负面提及或隐喻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若有对标信息，是否基于可验证的客观事实（第三方数据、公开报告）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判定标准：可接受</w:t>
      </w:r>
      <w:r>
        <w:t xml:space="preserve"> / </w:t>
      </w:r>
      <w:r>
        <w:rPr>
          <w:rFonts w:hint="eastAsia"/>
        </w:rPr>
        <w:t xml:space="preserve">建议修改表述</w:t>
      </w:r>
      <w:r>
        <w:t xml:space="preserve"> / </w:t>
      </w:r>
      <w:r>
        <w:rPr>
          <w:rFonts w:hint="eastAsia"/>
        </w:rPr>
        <w:t xml:space="preserve">建议删除对标内容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知识产权审查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是否引用或展示第三方商标、专利、著作权内容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是否已取得授权或符合合理使用原则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判定标准：清除侵权内容</w:t>
      </w:r>
      <w:r>
        <w:t xml:space="preserve"> / </w:t>
      </w:r>
      <w:r>
        <w:rPr>
          <w:rFonts w:hint="eastAsia"/>
        </w:rPr>
        <w:t xml:space="preserve">补充授权证明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法律合规审查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是否涉及国家禁止宣传的内容（医疗效果、赌博、危险品等）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是否符合广告法、反不正当竞争法等法律要求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判定标准：合规通过</w:t>
      </w:r>
      <w:r>
        <w:t xml:space="preserve"> / </w:t>
      </w:r>
      <w:r>
        <w:rPr>
          <w:rFonts w:hint="eastAsia"/>
        </w:rPr>
        <w:t xml:space="preserve">违法必须撤销</w:t>
      </w:r>
    </w:p>
    <w:p>
      <w:pPr>
        <w:pStyle w:val="FirstParagraph"/>
      </w:pPr>
      <w:r>
        <w:rPr>
          <w:rFonts w:hint="eastAsia"/>
          <w:b/>
          <w:bCs/>
        </w:rPr>
        <w:t xml:space="preserve">审查结果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：签署《合规初审意见单》，转入法务复核环节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退回修改</w:t>
      </w:r>
      <w:r>
        <w:rPr>
          <w:rFonts w:hint="eastAsia"/>
        </w:rPr>
        <w:t xml:space="preserve">：清单列出需修改项，由提交方在</w:t>
      </w:r>
      <w:r>
        <w:t xml:space="preserve"> 3 </w:t>
      </w:r>
      <w:r>
        <w:rPr>
          <w:rFonts w:hint="eastAsia"/>
        </w:rPr>
        <w:t xml:space="preserve">个工作日内修改并重新提交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拒绝发布</w:t>
      </w:r>
      <w:r>
        <w:rPr>
          <w:rFonts w:hint="eastAsia"/>
        </w:rPr>
        <w:t xml:space="preserve">：存在明确违法或高度侵权风险的内容，须取得提交方签字确认后方可修改</w:t>
      </w:r>
    </w:p>
    <w:bookmarkEnd w:id="15"/>
    <w:bookmarkStart w:id="16" w:name="第七条-第三环法务复核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第三环：法务复核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：法务部（主要负责人）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：部门经理或更高级管理人员（需具备法律背景或经验）</w:t>
      </w:r>
    </w:p>
    <w:p>
      <w:pPr>
        <w:pStyle w:val="BodyText"/>
      </w:pPr>
      <w:r>
        <w:rPr>
          <w:rFonts w:hint="eastAsia"/>
          <w:b/>
          <w:bCs/>
        </w:rPr>
        <w:t xml:space="preserve">审查周期</w:t>
      </w:r>
      <w:r>
        <w:rPr>
          <w:rFonts w:hint="eastAsia"/>
        </w:rPr>
        <w:t xml:space="preserve">：3-5</w:t>
      </w:r>
      <w:r>
        <w:t xml:space="preserve"> </w:t>
      </w:r>
      <w:r>
        <w:rPr>
          <w:rFonts w:hint="eastAsia"/>
        </w:rPr>
        <w:t xml:space="preserve">个工作日</w:t>
      </w:r>
    </w:p>
    <w:p>
      <w:pPr>
        <w:pStyle w:val="BodyText"/>
      </w:pPr>
      <w:r>
        <w:rPr>
          <w:rFonts w:hint="eastAsia"/>
          <w:b/>
          <w:bCs/>
        </w:rPr>
        <w:t xml:space="preserve">复核权限与内容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对初审意见的二级把关，重点关注：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关键合规判定的充分性（初审是否遗漏风险）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建议修改项是否确实必要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修改后的内容是否仍存在隐藏风险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特殊情况处理：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如初审与提交方存在分歧（例如提交方认为数据可证明），复核方可要求追加证据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如涉及重大合规问题（如涉嫌虚假宣传可能导致处罚），复核方可上报董事会或法务主管</w:t>
      </w:r>
    </w:p>
    <w:p>
      <w:pPr>
        <w:pStyle w:val="FirstParagraph"/>
      </w:pPr>
      <w:r>
        <w:rPr>
          <w:rFonts w:hint="eastAsia"/>
          <w:b/>
          <w:bCs/>
        </w:rPr>
        <w:t xml:space="preserve">复核结果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：签署《法务复核单》，明确”可以发布”，转入发布阶段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有条件通过</w:t>
      </w:r>
      <w:r>
        <w:rPr>
          <w:rFonts w:hint="eastAsia"/>
        </w:rPr>
        <w:t xml:space="preserve">：允许发布，但要求附加声明或调整表述，需提交方确认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退回修改</w:t>
      </w:r>
      <w:r>
        <w:rPr>
          <w:rFonts w:hint="eastAsia"/>
        </w:rPr>
        <w:t xml:space="preserve">：与初审不同的修改意见，需重新提交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禁止发布</w:t>
      </w:r>
      <w:r>
        <w:rPr>
          <w:rFonts w:hint="eastAsia"/>
        </w:rPr>
        <w:t xml:space="preserve">：发现高度风险，需向提交方书面说明理由，转入争议处理流程</w:t>
      </w:r>
    </w:p>
    <w:p>
      <w:pPr>
        <w:pStyle w:val="FirstParagraph"/>
      </w:pPr>
      <w:r>
        <w:rPr>
          <w:rFonts w:hint="eastAsia"/>
          <w:b/>
          <w:bCs/>
        </w:rPr>
        <w:t xml:space="preserve">争议处理</w:t>
      </w:r>
      <w:r>
        <w:rPr>
          <w:rFonts w:hint="eastAsia"/>
        </w:rPr>
        <w:t xml:space="preserve">（如提交方对禁止决议有异议）：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由法务部主管、市场部负责人、可持续发展委员会秘书处（可选）组织评审会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听取各方意见后形成最终决议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决议记录存档，用于日后的类似案例参考</w:t>
      </w:r>
    </w:p>
    <w:bookmarkEnd w:id="16"/>
    <w:bookmarkStart w:id="17" w:name="第八条-第四环发布执行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第四环：发布执行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：市场部</w:t>
      </w:r>
      <w:r>
        <w:t xml:space="preserve"> / </w:t>
      </w:r>
      <w:r>
        <w:rPr>
          <w:rFonts w:hint="eastAsia"/>
        </w:rPr>
        <w:t xml:space="preserve">各业务线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：各频道发布负责人</w:t>
      </w:r>
    </w:p>
    <w:p>
      <w:pPr>
        <w:pStyle w:val="BodyText"/>
      </w:pPr>
      <w:r>
        <w:rPr>
          <w:rFonts w:hint="eastAsia"/>
          <w:b/>
          <w:bCs/>
        </w:rPr>
        <w:t xml:space="preserve">发布要求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发布前确认所有审批流程已完成，获取《法务复核单》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按审批意见原样发布，不得擅自修改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记录发布时间、渠道、版本号（特别是重要媒体投放）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保存发布证明（截图或链接）</w:t>
      </w:r>
    </w:p>
    <w:p>
      <w:pPr>
        <w:pStyle w:val="FirstParagraph"/>
      </w:pPr>
      <w:r>
        <w:rPr>
          <w:rFonts w:hint="eastAsia"/>
          <w:b/>
          <w:bCs/>
        </w:rPr>
        <w:t xml:space="preserve">发布例外情况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在线社交媒体日常回复、客服简短回复可由市场部自行把握，但不得涉及关键产品承诺或功能宣传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内部邮件、员工通知不需审查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已审批的模板文案衍生版本，若无实质修改可简化审查</w:t>
      </w:r>
    </w:p>
    <w:bookmarkEnd w:id="17"/>
    <w:bookmarkStart w:id="18" w:name="第九条-第五环监测与反馈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第五环：监测与反馈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：市场部、法务部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：市场部品牌管理员、法务合规岗位</w:t>
      </w:r>
    </w:p>
    <w:p>
      <w:pPr>
        <w:pStyle w:val="BodyText"/>
      </w:pPr>
      <w:r>
        <w:rPr>
          <w:rFonts w:hint="eastAsia"/>
          <w:b/>
          <w:bCs/>
        </w:rPr>
        <w:t xml:space="preserve">监测内容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发布后</w:t>
      </w:r>
      <w:r>
        <w:t xml:space="preserve"> 3 </w:t>
      </w:r>
      <w:r>
        <w:rPr>
          <w:rFonts w:hint="eastAsia"/>
        </w:rPr>
        <w:t xml:space="preserve">个月内监测媒体评论、客户反馈、竞争对手异议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若出现用户投诉、平台告警或竞争对手举报，立即上报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记录反馈意见并转入改进流程</w:t>
      </w:r>
    </w:p>
    <w:p>
      <w:pPr>
        <w:pStyle w:val="FirstParagraph"/>
      </w:pPr>
      <w:r>
        <w:rPr>
          <w:rFonts w:hint="eastAsia"/>
          <w:b/>
          <w:bCs/>
        </w:rPr>
        <w:t xml:space="preserve">负面反馈处理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若出现投诉或风险预警，法务部评估是否需要修改或删除内容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涉及虚假宣传投诉的，需在</w:t>
      </w:r>
      <w:r>
        <w:t xml:space="preserve"> 10 </w:t>
      </w:r>
      <w:r>
        <w:rPr>
          <w:rFonts w:hint="eastAsia"/>
        </w:rPr>
        <w:t xml:space="preserve">个工作日内采取纠正措施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将处理结果记录在案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第三章-特殊场景的审查标准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特殊场景的审查标准</w:t>
      </w:r>
    </w:p>
    <w:bookmarkStart w:id="20" w:name="第十条-产品性能对标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产品性能对标</w:t>
      </w:r>
    </w:p>
    <w:p>
      <w:pPr>
        <w:pStyle w:val="FirstParagraph"/>
      </w:pPr>
      <w:r>
        <w:rPr>
          <w:rFonts w:hint="eastAsia"/>
        </w:rPr>
        <w:t xml:space="preserve">当宣传材料涉及与竞争对手产品的性能对比时，必须：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基于第三方权威测试报告或国家标准测试结果（不接受自家测试数据）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清晰标注对比基准与测试条件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不得使用模糊词汇（如”性能更优”），应具体量化（如”性能提升</w:t>
      </w:r>
      <w:r>
        <w:t xml:space="preserve"> </w:t>
      </w:r>
      <w:r>
        <w:rPr>
          <w:rFonts w:hint="eastAsia"/>
        </w:rPr>
        <w:t xml:space="preserve">15%“）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必须获得法务复核通过方可发布</w:t>
      </w:r>
    </w:p>
    <w:bookmarkEnd w:id="20"/>
    <w:bookmarkStart w:id="21" w:name="第十一条-客户案例与成功故事"/>
    <w:p>
      <w:pPr>
        <w:pStyle w:val="Heading3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客户案例与成功故事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必须取得客户书面授权方可公开姓名与详细信息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如使用匿名或代称，应在副标题说明（如”某大型新能源车企”）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数据与效果必须由客户或第三方验证方可声称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不得虚构案例或过度美化结果</w:t>
      </w:r>
    </w:p>
    <w:bookmarkEnd w:id="21"/>
    <w:bookmarkStart w:id="22" w:name="第十二条-认证与奖项声明"/>
    <w:p>
      <w:pPr>
        <w:pStyle w:val="Heading3"/>
      </w:pPr>
      <w:r>
        <w:rPr>
          <w:rFonts w:hint="eastAsia"/>
        </w:rPr>
        <w:t xml:space="preserve">第十二条</w:t>
      </w:r>
      <w:r>
        <w:t xml:space="preserve"> </w:t>
      </w:r>
      <w:r>
        <w:rPr>
          <w:rFonts w:hint="eastAsia"/>
        </w:rPr>
        <w:t xml:space="preserve">认证与奖项声明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所有认证（ISO、IATF</w:t>
      </w:r>
      <w:r>
        <w:t xml:space="preserve"> </w:t>
      </w:r>
      <w:r>
        <w:rPr>
          <w:rFonts w:hint="eastAsia"/>
        </w:rPr>
        <w:t xml:space="preserve">等）必须提交有效证书副本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获奖信息必须提交相关部门的官方证书或公告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不得声称未取得的认证或虚拟奖项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证书有效期过期后，相关宣传应立即撤下或更新</w:t>
      </w:r>
    </w:p>
    <w:bookmarkEnd w:id="22"/>
    <w:bookmarkStart w:id="23" w:name="第十三条-媒体投稿与新闻稿"/>
    <w:p>
      <w:pPr>
        <w:pStyle w:val="Heading3"/>
      </w:pPr>
      <w:r>
        <w:rPr>
          <w:rFonts w:hint="eastAsia"/>
        </w:rPr>
        <w:t xml:space="preserve">第十三条</w:t>
      </w:r>
      <w:r>
        <w:t xml:space="preserve"> </w:t>
      </w:r>
      <w:r>
        <w:rPr>
          <w:rFonts w:hint="eastAsia"/>
        </w:rPr>
        <w:t xml:space="preserve">媒体投稿与新闻稿</w:t>
      </w:r>
    </w:p>
    <w:p>
      <w:pPr>
        <w:pStyle w:val="FirstParagraph"/>
      </w:pPr>
      <w:r>
        <w:rPr>
          <w:rFonts w:hint="eastAsia"/>
        </w:rPr>
        <w:t xml:space="preserve">投向外部媒体的稿件需在发出前完成法务复核；若媒体修改内容，应：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在发布前逐字审核媒体版本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发现与原稿重大偏差，应要求媒体更正或撤稿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保存媒体最终发表版本与发布链接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四章-归档与监督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归档与监督</w:t>
      </w:r>
    </w:p>
    <w:bookmarkStart w:id="25" w:name="第十四条-文件保留"/>
    <w:p>
      <w:pPr>
        <w:pStyle w:val="Heading3"/>
      </w:pPr>
      <w:r>
        <w:rPr>
          <w:rFonts w:hint="eastAsia"/>
        </w:rPr>
        <w:t xml:space="preserve">第十四条</w:t>
      </w:r>
      <w:r>
        <w:t xml:space="preserve"> </w:t>
      </w:r>
      <w:r>
        <w:rPr>
          <w:rFonts w:hint="eastAsia"/>
        </w:rPr>
        <w:t xml:space="preserve">文件保留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所有广告素材（含初稿、修改稿）应存档</w:t>
      </w:r>
      <w:r>
        <w:t xml:space="preserve"> 3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《合规初审单》与《法务复核单》必须完整保留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发布证明（时间、版本、渠道）存档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相关支撑文件（认证证书、测试报告、客户授权书）与广告文件一起保存</w:t>
      </w:r>
    </w:p>
    <w:bookmarkEnd w:id="25"/>
    <w:bookmarkStart w:id="26" w:name="第十五条-定期审查与更新"/>
    <w:p>
      <w:pPr>
        <w:pStyle w:val="Heading3"/>
      </w:pPr>
      <w:r>
        <w:rPr>
          <w:rFonts w:hint="eastAsia"/>
        </w:rPr>
        <w:t xml:space="preserve">第十五条</w:t>
      </w:r>
      <w:r>
        <w:t xml:space="preserve"> </w:t>
      </w:r>
      <w:r>
        <w:rPr>
          <w:rFonts w:hint="eastAsia"/>
        </w:rPr>
        <w:t xml:space="preserve">定期审查与更新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法务部每季度抽检已发布的宣传材料，确保仍符合当前法律与公司政策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若发现已发布的内容存在风险，应采取修改或下线措施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超过</w:t>
      </w:r>
      <w:r>
        <w:t xml:space="preserve"> 2 </w:t>
      </w:r>
      <w:r>
        <w:rPr>
          <w:rFonts w:hint="eastAsia"/>
        </w:rPr>
        <w:t xml:space="preserve">年的宣传语应评估是否需要更新</w:t>
      </w:r>
    </w:p>
    <w:bookmarkEnd w:id="26"/>
    <w:bookmarkStart w:id="27" w:name="第十六条-考核与问责"/>
    <w:p>
      <w:pPr>
        <w:pStyle w:val="Heading3"/>
      </w:pPr>
      <w:r>
        <w:rPr>
          <w:rFonts w:hint="eastAsia"/>
        </w:rPr>
        <w:t xml:space="preserve">第十六条</w:t>
      </w:r>
      <w:r>
        <w:t xml:space="preserve"> </w:t>
      </w:r>
      <w:r>
        <w:rPr>
          <w:rFonts w:hint="eastAsia"/>
        </w:rPr>
        <w:t xml:space="preserve">考核与问责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未经审批擅自发布高风险宣传内容的部门或个人，扣发绩效奖金</w:t>
      </w:r>
      <w:r>
        <w:t xml:space="preserve"> 20%-50%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因虚假宣传被监管部门处罚的，责任人承担赔偿与声誉损失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法务部未尽责导致违法宣传发出的，由法务负责人承担连带责任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第五章-其他规定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其他规定</w:t>
      </w:r>
    </w:p>
    <w:bookmarkStart w:id="29" w:name="第十七条-修订与解释"/>
    <w:p>
      <w:pPr>
        <w:pStyle w:val="Heading3"/>
      </w:pPr>
      <w:r>
        <w:rPr>
          <w:rFonts w:hint="eastAsia"/>
        </w:rPr>
        <w:t xml:space="preserve">第十七条</w:t>
      </w:r>
      <w:r>
        <w:t xml:space="preserve"> </w:t>
      </w:r>
      <w:r>
        <w:rPr>
          <w:rFonts w:hint="eastAsia"/>
        </w:rPr>
        <w:t xml:space="preserve">修订与解释</w:t>
      </w:r>
    </w:p>
    <w:p>
      <w:pPr>
        <w:pStyle w:val="FirstParagraph"/>
      </w:pPr>
      <w:r>
        <w:rPr>
          <w:rFonts w:hint="eastAsia"/>
        </w:rPr>
        <w:t xml:space="preserve">本规程如需修订，由法务部提议，可持续发展委员会审议，法务主管签批。</w:t>
      </w:r>
    </w:p>
    <w:p>
      <w:pPr>
        <w:pStyle w:val="BodyText"/>
      </w:pPr>
      <w:r>
        <w:rPr>
          <w:rFonts w:hint="eastAsia"/>
        </w:rPr>
        <w:t xml:space="preserve">本规程的解释权属于法务部。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法务负责人</w:t>
      </w:r>
      <w:r>
        <w:rPr>
          <w:rFonts w:hint="eastAsia"/>
        </w:rPr>
        <w:t xml:space="preserve">：秦朗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本规程共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章</w:t>
      </w:r>
      <w:r>
        <w:rPr>
          <w:i/>
          <w:iCs/>
        </w:rPr>
        <w:t xml:space="preserve"> 17 </w:t>
      </w:r>
      <w:r>
        <w:rPr>
          <w:rFonts w:hint="eastAsia"/>
          <w:i/>
          <w:iCs/>
        </w:rPr>
        <w:t xml:space="preserve">条，约</w:t>
      </w:r>
      <w:r>
        <w:rPr>
          <w:i/>
          <w:iCs/>
        </w:rPr>
        <w:t xml:space="preserve"> 1300 </w:t>
      </w:r>
      <w:r>
        <w:rPr>
          <w:rFonts w:hint="eastAsia"/>
          <w:i/>
          <w:iCs/>
        </w:rPr>
        <w:t xml:space="preserve">字。详细阐述了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个主要环节（素材提交→合规初审→法务复核→发布→监测）+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特殊场景审查标准，每个环节明确了责任部门、执行周期、判定标准与处理方式，完整支撑「广告审查流程图」。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