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791FCB7D"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C0DE3">
        <w:rPr>
          <w:rFonts w:eastAsia="Times New Roman" w:cs="Times New Roman"/>
          <w:sz w:val="28"/>
          <w:szCs w:val="28"/>
          <w:lang w:val="fr-CA"/>
        </w:rPr>
        <w:t xml:space="preserve">18 </w:t>
      </w:r>
      <w:r w:rsidR="003F5A91">
        <w:rPr>
          <w:rFonts w:eastAsia="Times New Roman" w:cs="Times New Roman"/>
          <w:sz w:val="28"/>
          <w:szCs w:val="28"/>
          <w:lang w:val="fr-CA"/>
        </w:rPr>
        <w:t xml:space="preserve">avril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5099">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62331B5E"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DA612C">
              <w:rPr>
                <w:noProof/>
                <w:webHidden/>
              </w:rPr>
              <w:t>3</w:t>
            </w:r>
            <w:r w:rsidR="00F8042B">
              <w:rPr>
                <w:noProof/>
                <w:webHidden/>
              </w:rPr>
              <w:fldChar w:fldCharType="end"/>
            </w:r>
          </w:hyperlink>
        </w:p>
        <w:p w14:paraId="5D096791" w14:textId="7EFF2A46"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DA612C">
              <w:rPr>
                <w:noProof/>
                <w:webHidden/>
              </w:rPr>
              <w:t>4</w:t>
            </w:r>
            <w:r w:rsidR="00F8042B">
              <w:rPr>
                <w:noProof/>
                <w:webHidden/>
              </w:rPr>
              <w:fldChar w:fldCharType="end"/>
            </w:r>
          </w:hyperlink>
        </w:p>
        <w:p w14:paraId="4CD702D0" w14:textId="5DC6595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DA612C">
              <w:rPr>
                <w:noProof/>
                <w:webHidden/>
              </w:rPr>
              <w:t>4</w:t>
            </w:r>
            <w:r w:rsidR="00F8042B">
              <w:rPr>
                <w:noProof/>
                <w:webHidden/>
              </w:rPr>
              <w:fldChar w:fldCharType="end"/>
            </w:r>
          </w:hyperlink>
        </w:p>
        <w:p w14:paraId="6F93B6EF" w14:textId="2C97DD36"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DA612C">
              <w:rPr>
                <w:noProof/>
                <w:webHidden/>
              </w:rPr>
              <w:t>6</w:t>
            </w:r>
            <w:r w:rsidR="00F8042B">
              <w:rPr>
                <w:noProof/>
                <w:webHidden/>
              </w:rPr>
              <w:fldChar w:fldCharType="end"/>
            </w:r>
          </w:hyperlink>
        </w:p>
        <w:p w14:paraId="10DDD2B5" w14:textId="124FC76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DA612C">
              <w:rPr>
                <w:noProof/>
                <w:webHidden/>
              </w:rPr>
              <w:t>8</w:t>
            </w:r>
            <w:r w:rsidR="00F8042B">
              <w:rPr>
                <w:noProof/>
                <w:webHidden/>
              </w:rPr>
              <w:fldChar w:fldCharType="end"/>
            </w:r>
          </w:hyperlink>
        </w:p>
        <w:p w14:paraId="28E9222D" w14:textId="55965F6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DA612C">
              <w:rPr>
                <w:noProof/>
                <w:webHidden/>
              </w:rPr>
              <w:t>10</w:t>
            </w:r>
            <w:r w:rsidR="00F8042B">
              <w:rPr>
                <w:noProof/>
                <w:webHidden/>
              </w:rPr>
              <w:fldChar w:fldCharType="end"/>
            </w:r>
          </w:hyperlink>
        </w:p>
        <w:p w14:paraId="12D0E993" w14:textId="29C3AADC"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DA612C">
              <w:rPr>
                <w:noProof/>
                <w:webHidden/>
              </w:rPr>
              <w:t>14</w:t>
            </w:r>
            <w:r w:rsidR="00F8042B">
              <w:rPr>
                <w:noProof/>
                <w:webHidden/>
              </w:rPr>
              <w:fldChar w:fldCharType="end"/>
            </w:r>
          </w:hyperlink>
        </w:p>
        <w:p w14:paraId="739D5BFB" w14:textId="5CE91228"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DA612C">
              <w:rPr>
                <w:noProof/>
                <w:webHidden/>
              </w:rPr>
              <w:t>15</w:t>
            </w:r>
            <w:r w:rsidR="00F8042B">
              <w:rPr>
                <w:noProof/>
                <w:webHidden/>
              </w:rPr>
              <w:fldChar w:fldCharType="end"/>
            </w:r>
          </w:hyperlink>
        </w:p>
        <w:p w14:paraId="76DE9322" w14:textId="3351E56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DA612C">
              <w:rPr>
                <w:noProof/>
                <w:webHidden/>
              </w:rPr>
              <w:t>16</w:t>
            </w:r>
            <w:r w:rsidR="00F8042B">
              <w:rPr>
                <w:noProof/>
                <w:webHidden/>
              </w:rPr>
              <w:fldChar w:fldCharType="end"/>
            </w:r>
          </w:hyperlink>
        </w:p>
        <w:p w14:paraId="53BF6F5E" w14:textId="389B85D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DA612C">
              <w:rPr>
                <w:noProof/>
                <w:webHidden/>
              </w:rPr>
              <w:t>17</w:t>
            </w:r>
            <w:r w:rsidR="00F8042B">
              <w:rPr>
                <w:noProof/>
                <w:webHidden/>
              </w:rPr>
              <w:fldChar w:fldCharType="end"/>
            </w:r>
          </w:hyperlink>
        </w:p>
        <w:p w14:paraId="72205844" w14:textId="566968F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DA612C">
              <w:rPr>
                <w:noProof/>
                <w:webHidden/>
              </w:rPr>
              <w:t>19</w:t>
            </w:r>
            <w:r w:rsidR="00F8042B">
              <w:rPr>
                <w:noProof/>
                <w:webHidden/>
              </w:rPr>
              <w:fldChar w:fldCharType="end"/>
            </w:r>
          </w:hyperlink>
        </w:p>
        <w:p w14:paraId="5DE710DA" w14:textId="4964876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DA612C">
              <w:rPr>
                <w:noProof/>
                <w:webHidden/>
              </w:rPr>
              <w:t>20</w:t>
            </w:r>
            <w:r w:rsidR="00F8042B">
              <w:rPr>
                <w:noProof/>
                <w:webHidden/>
              </w:rPr>
              <w:fldChar w:fldCharType="end"/>
            </w:r>
          </w:hyperlink>
        </w:p>
        <w:p w14:paraId="047E679F" w14:textId="51D34DD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DA612C">
              <w:rPr>
                <w:noProof/>
                <w:webHidden/>
              </w:rPr>
              <w:t>22</w:t>
            </w:r>
            <w:r w:rsidR="00F8042B">
              <w:rPr>
                <w:noProof/>
                <w:webHidden/>
              </w:rPr>
              <w:fldChar w:fldCharType="end"/>
            </w:r>
          </w:hyperlink>
        </w:p>
        <w:p w14:paraId="0059EBDF" w14:textId="0ABDA6E8"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DA612C">
              <w:rPr>
                <w:noProof/>
                <w:webHidden/>
              </w:rPr>
              <w:t>24</w:t>
            </w:r>
            <w:r w:rsidR="00F8042B">
              <w:rPr>
                <w:noProof/>
                <w:webHidden/>
              </w:rPr>
              <w:fldChar w:fldCharType="end"/>
            </w:r>
          </w:hyperlink>
        </w:p>
        <w:p w14:paraId="14BA8AD4" w14:textId="52A73F3C"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DA612C">
              <w:rPr>
                <w:noProof/>
                <w:webHidden/>
              </w:rPr>
              <w:t>26</w:t>
            </w:r>
            <w:r w:rsidR="00F8042B">
              <w:rPr>
                <w:noProof/>
                <w:webHidden/>
              </w:rPr>
              <w:fldChar w:fldCharType="end"/>
            </w:r>
          </w:hyperlink>
        </w:p>
        <w:p w14:paraId="536C9F10" w14:textId="11EE3894"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DA612C">
              <w:rPr>
                <w:noProof/>
                <w:webHidden/>
              </w:rPr>
              <w:t>28</w:t>
            </w:r>
            <w:r w:rsidR="00F8042B">
              <w:rPr>
                <w:noProof/>
                <w:webHidden/>
              </w:rPr>
              <w:fldChar w:fldCharType="end"/>
            </w:r>
          </w:hyperlink>
        </w:p>
        <w:p w14:paraId="091F0BED" w14:textId="5E5EDEA5"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DA612C">
              <w:rPr>
                <w:noProof/>
                <w:webHidden/>
              </w:rPr>
              <w:t>29</w:t>
            </w:r>
            <w:r w:rsidR="00F8042B">
              <w:rPr>
                <w:noProof/>
                <w:webHidden/>
              </w:rPr>
              <w:fldChar w:fldCharType="end"/>
            </w:r>
          </w:hyperlink>
        </w:p>
        <w:p w14:paraId="07194A5C" w14:textId="50F6F477"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DA612C">
              <w:rPr>
                <w:noProof/>
                <w:webHidden/>
              </w:rPr>
              <w:t>31</w:t>
            </w:r>
            <w:r w:rsidR="00F8042B">
              <w:rPr>
                <w:noProof/>
                <w:webHidden/>
              </w:rPr>
              <w:fldChar w:fldCharType="end"/>
            </w:r>
          </w:hyperlink>
        </w:p>
        <w:p w14:paraId="704654EE" w14:textId="730AAD47"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DA612C">
              <w:rPr>
                <w:noProof/>
                <w:webHidden/>
              </w:rPr>
              <w:t>31</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5099">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Al-Aidroos, PhD, Christopher Fiacconi, PhD, Deborah Powell, PhD, Harvey Marmurek, PhD, Ian Newby-Clark,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 xml:space="preserve">Al-Aidroos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5099">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5099">
      <w:pPr>
        <w:pStyle w:val="APA1"/>
      </w:pPr>
      <w:bookmarkStart w:id="10" w:name="_Toc130399339"/>
      <w:bookmarkStart w:id="11" w:name="_Toc127541217"/>
      <w:r w:rsidRPr="0076205D">
        <w:t>Contexte</w:t>
      </w:r>
      <w:bookmarkEnd w:id="10"/>
      <w:bookmarkEnd w:id="11"/>
    </w:p>
    <w:p w14:paraId="33E6512A" w14:textId="4E04864F"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2E60EB">
        <w:rPr>
          <w:rFonts w:eastAsia="Times New Roman" w:cs="Times New Roman"/>
          <w:szCs w:val="24"/>
          <w:lang w:val="fr-CA"/>
        </w:rPr>
        <w:t>chercheu</w:t>
      </w:r>
      <w:r w:rsidR="00B95AF9">
        <w:rPr>
          <w:rFonts w:eastAsia="Times New Roman" w:cs="Times New Roman"/>
          <w:szCs w:val="24"/>
          <w:lang w:val="fr-CA"/>
        </w:rPr>
        <w:t>se</w:t>
      </w:r>
      <w:r w:rsidR="002E60EB">
        <w:rPr>
          <w:rFonts w:eastAsia="Times New Roman" w:cs="Times New Roman"/>
          <w:szCs w:val="24"/>
          <w:lang w:val="fr-CA"/>
        </w:rPr>
        <w:t>s</w:t>
      </w:r>
      <w:r w:rsidR="009647B1">
        <w:rPr>
          <w:rFonts w:eastAsia="Times New Roman" w:cs="Times New Roman"/>
          <w:szCs w:val="24"/>
          <w:lang w:val="fr-CA"/>
        </w:rPr>
        <w:t xml:space="preserve"> et chercheurs</w:t>
      </w:r>
      <w:r w:rsidR="00394D0C">
        <w:rPr>
          <w:rFonts w:eastAsia="Times New Roman" w:cs="Times New Roman"/>
          <w:szCs w:val="24"/>
          <w:lang w:val="fr-CA"/>
        </w:rPr>
        <w:t xml:space="preserve"> 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w:t>
      </w:r>
      <w:r w:rsidR="00226600">
        <w:rPr>
          <w:rFonts w:eastAsia="Times New Roman" w:cs="Times New Roman"/>
          <w:szCs w:val="24"/>
          <w:lang w:val="fr-CA"/>
        </w:rPr>
        <w:lastRenderedPageBreak/>
        <w:t xml:space="preserve">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r w:rsidR="00361C0C" w:rsidRPr="00361C0C">
        <w:rPr>
          <w:rFonts w:eastAsia="Times New Roman" w:cs="Times New Roman"/>
          <w:i/>
          <w:iCs/>
          <w:szCs w:val="24"/>
          <w:lang w:val="fr-CA"/>
        </w:rPr>
        <w:t>hypothesis-generating</w:t>
      </w:r>
      <w:r w:rsidR="00F37140">
        <w:rPr>
          <w:rFonts w:eastAsia="Times New Roman" w:cs="Times New Roman"/>
          <w:szCs w:val="24"/>
          <w:lang w:val="fr-CA"/>
        </w:rPr>
        <w:t xml:space="preserve"> </w:t>
      </w:r>
      <w:r w:rsidR="00BF0E1F">
        <w:rPr>
          <w:rFonts w:eastAsia="Times New Roman" w:cs="Times New Roman"/>
          <w:i/>
          <w:iCs/>
          <w:szCs w:val="24"/>
          <w:lang w:val="fr-CA"/>
        </w:rPr>
        <w:t>framework</w:t>
      </w:r>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r w:rsidR="00EA2619" w:rsidRPr="006F3342">
        <w:rPr>
          <w:rFonts w:eastAsia="Times New Roman" w:cs="Times New Roman"/>
          <w:i/>
          <w:iCs/>
          <w:szCs w:val="24"/>
          <w:lang w:val="fr-CA"/>
        </w:rPr>
        <w:t>hypothesis-testing</w:t>
      </w:r>
      <w:r w:rsidR="005C40BE">
        <w:rPr>
          <w:rFonts w:eastAsia="Times New Roman" w:cs="Times New Roman"/>
          <w:i/>
          <w:iCs/>
          <w:szCs w:val="24"/>
          <w:lang w:val="fr-CA"/>
        </w:rPr>
        <w:t xml:space="preserve"> </w:t>
      </w:r>
      <w:r w:rsidR="00BF0E1F">
        <w:rPr>
          <w:rFonts w:eastAsia="Times New Roman" w:cs="Times New Roman"/>
          <w:i/>
          <w:iCs/>
          <w:szCs w:val="24"/>
          <w:lang w:val="fr-CA"/>
        </w:rPr>
        <w:t>framework</w:t>
      </w:r>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30B44E0B" w:rsidR="005263AC" w:rsidRDefault="00327708" w:rsidP="00443981">
      <w:pPr>
        <w:snapToGrid w:val="0"/>
        <w:spacing w:line="360" w:lineRule="auto"/>
        <w:ind w:firstLine="720"/>
        <w:rPr>
          <w:lang w:val="fr-CA"/>
        </w:rPr>
      </w:pPr>
      <w:r>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soyez transparent.e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lastRenderedPageBreak/>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une variable, le choix précis des tests statistiques et de leurs paramètres, le fait de </w:t>
            </w:r>
            <w:r w:rsidR="001B474E">
              <w:rPr>
                <w:rFonts w:eastAsia="Times New Roman" w:cs="Times New Roman"/>
                <w:szCs w:val="24"/>
                <w:lang w:val="fr-CA"/>
              </w:rPr>
              <w:lastRenderedPageBreak/>
              <w:t xml:space="preserve">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t>Le rapport sélectif des variables</w:t>
            </w:r>
          </w:p>
        </w:tc>
        <w:tc>
          <w:tcPr>
            <w:tcW w:w="4680" w:type="dxa"/>
          </w:tcPr>
          <w:p w14:paraId="2DABA588" w14:textId="2E179744"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lastRenderedPageBreak/>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7B307391"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e pas rapporter toutes les analyses 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Le « HARKing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7950BE69"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6E98E1F0"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les lecteur</w:t>
            </w:r>
            <w:r w:rsidR="00084209">
              <w:rPr>
                <w:rFonts w:eastAsia="Times New Roman" w:cs="Times New Roman"/>
                <w:szCs w:val="24"/>
                <w:lang w:val="fr-CA"/>
              </w:rPr>
              <w:t>.rices</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17282E21" w14:textId="078BD604" w:rsidR="00185947" w:rsidRPr="0076205D" w:rsidRDefault="009F3AFA" w:rsidP="00005099">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w:t>
      </w:r>
      <w:r w:rsidR="00A064D4">
        <w:rPr>
          <w:rFonts w:eastAsia="Times New Roman" w:cs="Times New Roman"/>
          <w:szCs w:val="24"/>
          <w:lang w:val="fr-CA"/>
        </w:rPr>
        <w:lastRenderedPageBreak/>
        <w:t xml:space="preserve">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5BA37823"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5B4F54E2" w14:textId="58E7D8DF" w:rsidR="00FE6C2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4C0CA1DE" w14:textId="49344787" w:rsidR="00A9602A"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2ABDBDD1"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comme les journaux de l’American Psychological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58C33CB9" w14:textId="38773CA4"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4CC4ABC9"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w:t>
      </w:r>
      <w:r>
        <w:rPr>
          <w:rFonts w:eastAsia="Times New Roman" w:cs="Times New Roman"/>
          <w:szCs w:val="24"/>
          <w:lang w:val="fr-CA"/>
        </w:rPr>
        <w:lastRenderedPageBreak/>
        <w:t>soient significatifs ou non. Souvent, votre protocole peut être accepté à condition d’y apporter des modifications et des améliorations, ce qui permet au final d’avoir une étude révisée par les pairs en avance et en particulier, encore plus robuste.</w:t>
      </w:r>
    </w:p>
    <w:p w14:paraId="16DB050B" w14:textId="12662274" w:rsidR="00EF636F" w:rsidRDefault="008A1F48"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 </w:t>
      </w:r>
      <w:r w:rsidR="00EF636F">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sidR="00EF636F">
        <w:rPr>
          <w:rFonts w:eastAsia="Times New Roman" w:cs="Times New Roman"/>
          <w:szCs w:val="24"/>
          <w:lang w:val="fr-CA"/>
        </w:rPr>
        <w:t xml:space="preserve">de </w:t>
      </w:r>
      <w:r w:rsidR="005472FF">
        <w:rPr>
          <w:rFonts w:eastAsia="Times New Roman" w:cs="Times New Roman"/>
          <w:szCs w:val="24"/>
          <w:lang w:val="fr-CA"/>
        </w:rPr>
        <w:t xml:space="preserve">ne </w:t>
      </w:r>
      <w:r w:rsidR="00EF636F">
        <w:rPr>
          <w:rFonts w:eastAsia="Times New Roman" w:cs="Times New Roman"/>
          <w:szCs w:val="24"/>
          <w:lang w:val="fr-CA"/>
        </w:rPr>
        <w:t xml:space="preserve">publier </w:t>
      </w:r>
      <w:r w:rsidR="005472FF">
        <w:rPr>
          <w:rFonts w:eastAsia="Times New Roman" w:cs="Times New Roman"/>
          <w:szCs w:val="24"/>
          <w:lang w:val="fr-CA"/>
        </w:rPr>
        <w:t xml:space="preserve">que </w:t>
      </w:r>
      <w:r w:rsidR="00EF636F">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sidR="00EF636F">
        <w:rPr>
          <w:rFonts w:eastAsia="Times New Roman" w:cs="Times New Roman"/>
          <w:szCs w:val="24"/>
          <w:lang w:val="fr-CA"/>
        </w:rPr>
        <w:t>. Ceci étant dit, bien que le rapport enregistré devienne également de plus 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De plus, les changements sociaux et structuraux sont généralement lents, et il faut aussi se donner le temps à soi-même. Sentez-vous donc libre de commencer par de petits pas—un pas à la fois—tant que vous commenciez. Vous pourrez néanmoins garder le rapport enregistré en tête comme la pratique idéale à (éventuellement) atteindre.</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1"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 xml:space="preserve">Comme vous écrivez déjà votre introduction et votre méthodologie dans le contexte </w:t>
      </w:r>
      <w:r w:rsidRPr="0076205D">
        <w:rPr>
          <w:rFonts w:eastAsia="Times New Roman" w:cs="Times New Roman"/>
          <w:szCs w:val="24"/>
          <w:lang w:val="fr-CA"/>
        </w:rPr>
        <w:lastRenderedPageBreak/>
        <w:t>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2"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t>Les données ouvertes</w:t>
      </w:r>
      <w:bookmarkEnd w:id="22"/>
      <w:bookmarkEnd w:id="23"/>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4"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5"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w:t>
      </w:r>
      <w:r w:rsidR="00A10509">
        <w:rPr>
          <w:rFonts w:eastAsia="Times New Roman" w:cs="Times New Roman"/>
          <w:szCs w:val="24"/>
          <w:lang w:val="fr-CA"/>
        </w:rPr>
        <w:lastRenderedPageBreak/>
        <w:t>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obtenir un identifiant doi, pour ce jeu de données, si désiré.</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31E55EF5"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28"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k&#10;v16Z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31E55EF5"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 xml:space="preserve">autres études) ne seront probablement pas dû à des erreurs dans le script ou dans la manière </w:t>
      </w:r>
      <w:r w:rsidR="002A44CF">
        <w:rPr>
          <w:rFonts w:eastAsia="Times New Roman" w:cs="Times New Roman"/>
          <w:szCs w:val="24"/>
          <w:lang w:val="fr-CA"/>
        </w:rPr>
        <w:lastRenderedPageBreak/>
        <w:t>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26" w:name="_Toc130399348"/>
      <w:bookmarkStart w:id="27" w:name="_Toc127541224"/>
      <w:r>
        <w:rPr>
          <w:lang w:val="fr-CA"/>
        </w:rPr>
        <w:t>L</w:t>
      </w:r>
      <w:r w:rsidR="00E94782">
        <w:rPr>
          <w:lang w:val="fr-CA"/>
        </w:rPr>
        <w:t>’</w:t>
      </w:r>
      <w:r>
        <w:rPr>
          <w:lang w:val="fr-CA"/>
        </w:rPr>
        <w:t>utilisation du logiciel R</w:t>
      </w:r>
      <w:bookmarkEnd w:id="26"/>
      <w:bookmarkEnd w:id="27"/>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w:t>
      </w:r>
      <w:r w:rsidR="001F518A">
        <w:rPr>
          <w:rFonts w:eastAsia="Times New Roman" w:cs="Times New Roman"/>
          <w:szCs w:val="24"/>
          <w:lang w:val="fr-CA"/>
        </w:rPr>
        <w:lastRenderedPageBreak/>
        <w:t xml:space="preserve">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28"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29"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0" w:history="1">
        <w:r w:rsidR="00781654" w:rsidRPr="002F409B">
          <w:rPr>
            <w:rStyle w:val="Hyperlink"/>
            <w:rFonts w:eastAsia="Times New Roman" w:cs="Times New Roman"/>
            <w:szCs w:val="24"/>
            <w:lang w:val="fr-CA"/>
          </w:rPr>
          <w:t>statcheck</w:t>
        </w:r>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76452C55"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7F3B77">
        <w:rPr>
          <w:rFonts w:eastAsia="Times New Roman" w:cs="Times New Roman"/>
          <w:szCs w:val="24"/>
          <w:lang w:val="fr-CA"/>
        </w:rPr>
        <w:t>lecteur.rices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3CF9016D" w:rsidR="002A2048" w:rsidRDefault="0046606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1"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 xml:space="preserve">interface (RStudio)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2"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1751F7E9" w14:textId="6284006A" w:rsidR="00135FCF" w:rsidRPr="00F42C80" w:rsidRDefault="00135FCF">
      <w:pPr>
        <w:pStyle w:val="APA2"/>
        <w:rPr>
          <w:lang w:val="fr-CA"/>
        </w:rPr>
      </w:pPr>
      <w:bookmarkStart w:id="28" w:name="_Toc130399349"/>
      <w:bookmarkStart w:id="29" w:name="_Toc127541225"/>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La prépublication (anglais : preprint)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34">
        <w:r w:rsidR="00F56FF8" w:rsidRPr="7DD69E69">
          <w:rPr>
            <w:rStyle w:val="Hyperlink"/>
            <w:rFonts w:eastAsia="Times New Roman" w:cs="Times New Roman"/>
            <w:lang w:val="fr-CA"/>
          </w:rPr>
          <w:t>PsyArXiv</w:t>
        </w:r>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fondé par la Society for the Improvement of Psychological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 xml:space="preserve">En rendant la </w:t>
      </w:r>
      <w:r w:rsidR="0900C89F" w:rsidRPr="7DD69E69">
        <w:rPr>
          <w:rFonts w:eastAsia="Times New Roman" w:cs="Times New Roman"/>
          <w:lang w:val="fr-CA"/>
        </w:rPr>
        <w:lastRenderedPageBreak/>
        <w:t>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2BED1D6" w:rsidR="3E04AFAD" w:rsidRDefault="13358387" w:rsidP="00C25359">
      <w:pPr>
        <w:spacing w:line="360" w:lineRule="auto"/>
        <w:ind w:firstLine="720"/>
        <w:rPr>
          <w:rFonts w:eastAsia="Times New Roman" w:cs="Times New Roman"/>
          <w:lang w:val="fr-CA"/>
        </w:rPr>
      </w:pPr>
      <w:r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file drawer effect</w:t>
      </w:r>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un identifiant doi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3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 xml:space="preserve">emploi, puisque le </w:t>
      </w:r>
      <w:r w:rsidR="1418DFB5" w:rsidRPr="7DD69E69">
        <w:rPr>
          <w:rFonts w:eastAsia="Times New Roman" w:cs="Times New Roman"/>
          <w:lang w:val="fr-CA"/>
        </w:rPr>
        <w:lastRenderedPageBreak/>
        <w:t>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doi)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0093E6" w14:textId="4016DC86" w:rsidR="00D26B63" w:rsidRDefault="00D26B63" w:rsidP="00430E71">
      <w:pPr>
        <w:rPr>
          <w:lang w:val="fr-CA"/>
        </w:rPr>
      </w:pPr>
      <w:r w:rsidRPr="00850A39">
        <w:rPr>
          <w:noProof/>
          <w:lang w:val="fr-CA"/>
        </w:rPr>
        <mc:AlternateContent>
          <mc:Choice Requires="wps">
            <w:drawing>
              <wp:anchor distT="45720" distB="45720" distL="114300" distR="114300" simplePos="0" relativeHeight="251693056" behindDoc="0" locked="0" layoutInCell="1" allowOverlap="1" wp14:anchorId="77129B53" wp14:editId="2467E05C">
                <wp:simplePos x="0" y="0"/>
                <wp:positionH relativeFrom="margin">
                  <wp:align>left</wp:align>
                </wp:positionH>
                <wp:positionV relativeFrom="paragraph">
                  <wp:posOffset>55245</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3369ED8" w14:textId="77777777" w:rsidR="00D26B63" w:rsidRPr="00850A39" w:rsidRDefault="00D26B63" w:rsidP="00D26B63">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71789876" w14:textId="77777777" w:rsidR="00D26B63" w:rsidRDefault="00D26B63" w:rsidP="00D26B63">
                            <w:pPr>
                              <w:spacing w:line="240" w:lineRule="auto"/>
                              <w:rPr>
                                <w:lang w:val="fr-CA"/>
                              </w:rPr>
                            </w:pPr>
                          </w:p>
                          <w:p w14:paraId="3A7DD876" w14:textId="77777777" w:rsidR="00D26B63" w:rsidRPr="00850A39" w:rsidRDefault="00D26B63" w:rsidP="00D26B63">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6"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29B53" id="Text Box 2" o:spid="_x0000_s1029" type="#_x0000_t202" style="position:absolute;margin-left:0;margin-top:4.35pt;width:479.25pt;height:110.6pt;z-index:251693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D5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">
                <v:textbox style="mso-fit-shape-to-text:t">
                  <w:txbxContent>
                    <w:p w14:paraId="53369ED8" w14:textId="77777777" w:rsidR="00D26B63" w:rsidRPr="00850A39" w:rsidRDefault="00D26B63" w:rsidP="00D26B63">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71789876" w14:textId="77777777" w:rsidR="00D26B63" w:rsidRDefault="00D26B63" w:rsidP="00D26B63">
                      <w:pPr>
                        <w:spacing w:line="240" w:lineRule="auto"/>
                        <w:rPr>
                          <w:lang w:val="fr-CA"/>
                        </w:rPr>
                      </w:pPr>
                    </w:p>
                    <w:p w14:paraId="3A7DD876" w14:textId="77777777" w:rsidR="00D26B63" w:rsidRPr="00850A39" w:rsidRDefault="00D26B63" w:rsidP="00D26B63">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7"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p>
    <w:p w14:paraId="44B9E9F3" w14:textId="659ED32F" w:rsidR="009B6EB2" w:rsidRPr="00F42C80" w:rsidRDefault="009B6EB2">
      <w:pPr>
        <w:pStyle w:val="APA2"/>
        <w:rPr>
          <w:lang w:val="fr-CA"/>
        </w:rPr>
      </w:pPr>
      <w:bookmarkStart w:id="30" w:name="_Toc130399350"/>
      <w:bookmarkStart w:id="31" w:name="_Toc127541226"/>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0"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pX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puJFfCByrbE5EFmHx86ln0aLDt1Pzgbq2or7HztwkjP9wVB1bqZFEds8GcX8ilAy&#10;d+mpLz1gBElVPHB2XK5D+hqJm72jKm5U4vscySlk6saE/fRzYrtf2unU8/9e/QI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O6SGlc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5A4BAA12">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38">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39">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w:t>
      </w:r>
      <w:r w:rsidR="00827295" w:rsidRPr="7DD69E69">
        <w:rPr>
          <w:rFonts w:eastAsia="Times New Roman" w:cs="Times New Roman"/>
          <w:lang w:val="fr-CA"/>
        </w:rPr>
        <w:lastRenderedPageBreak/>
        <w:t xml:space="preserve">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38D7295" w14:textId="60E80B5C" w:rsidR="009B6EB2" w:rsidRDefault="13D88200" w:rsidP="00C25359">
      <w:pPr>
        <w:snapToGrid w:val="0"/>
        <w:spacing w:line="360" w:lineRule="auto"/>
        <w:ind w:firstLine="720"/>
        <w:rPr>
          <w:rFonts w:eastAsia="Times New Roman" w:cs="Times New Roman"/>
          <w:lang w:val="fr-CA"/>
        </w:rPr>
      </w:pPr>
      <w:r w:rsidRPr="7DD69E69">
        <w:rPr>
          <w:rFonts w:eastAsia="Times New Roman" w:cs="Times New Roman"/>
          <w:lang w:val="fr-CA"/>
        </w:rPr>
        <w:t xml:space="preserve">Il existe </w:t>
      </w:r>
      <w:hyperlink r:id="rId40">
        <w:r w:rsidRPr="7DD69E69">
          <w:rPr>
            <w:rStyle w:val="Hyperlink"/>
            <w:rFonts w:eastAsia="Times New Roman" w:cs="Times New Roman"/>
            <w:lang w:val="fr-CA"/>
          </w:rPr>
          <w:t>plusieurs types de publication en libre accès</w:t>
        </w:r>
      </w:hyperlink>
      <w:r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Pr="7DD69E69">
        <w:rPr>
          <w:rFonts w:eastAsia="Times New Roman" w:cs="Times New Roman"/>
          <w:lang w:val="fr-CA"/>
        </w:rPr>
        <w:t>accès libre sont les plus populaires, mais une troisième variante gagne de plus en plus en popularité également (</w:t>
      </w:r>
      <w:hyperlink r:id="rId41">
        <w:r w:rsidRPr="7DD69E69">
          <w:rPr>
            <w:rStyle w:val="Hyperlink"/>
            <w:rFonts w:eastAsia="Times New Roman" w:cs="Times New Roman"/>
            <w:lang w:val="fr-CA"/>
          </w:rPr>
          <w:t>notamment grâce au Plan S</w:t>
        </w:r>
      </w:hyperlink>
      <w:r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Pr="7DD69E69">
        <w:rPr>
          <w:rFonts w:eastAsia="Times New Roman" w:cs="Times New Roman"/>
          <w:lang w:val="fr-CA"/>
        </w:rPr>
        <w:t>y a donc pas de frais d</w:t>
      </w:r>
      <w:r w:rsidR="00E94782">
        <w:rPr>
          <w:rFonts w:eastAsia="Times New Roman" w:cs="Times New Roman"/>
          <w:lang w:val="fr-CA"/>
        </w:rPr>
        <w:t>’</w:t>
      </w:r>
      <w:r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59AB54" w14:textId="77777777" w:rsidR="00EB7BD3" w:rsidRDefault="00EB7BD3" w:rsidP="00C25359">
      <w:pPr>
        <w:snapToGrid w:val="0"/>
        <w:spacing w:line="360" w:lineRule="auto"/>
        <w:ind w:firstLine="720"/>
        <w:rPr>
          <w:rFonts w:eastAsia="Times New Roman" w:cs="Times New Roman"/>
          <w:lang w:val="fr-CA"/>
        </w:rPr>
      </w:pPr>
    </w:p>
    <w:p w14:paraId="67964936" w14:textId="35CB23AE" w:rsidR="009F4BAA" w:rsidRPr="00135FCF" w:rsidRDefault="009F4BAA"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62776B38">
                <wp:simplePos x="0" y="0"/>
                <wp:positionH relativeFrom="margin">
                  <wp:align>left</wp:align>
                </wp:positionH>
                <wp:positionV relativeFrom="paragraph">
                  <wp:posOffset>0</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2"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493C66BC" w14:textId="3BF7900C" w:rsidR="00ED79A6" w:rsidRPr="00850A39" w:rsidRDefault="00304044" w:rsidP="0047656F">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3" w:history="1">
                              <w:r w:rsidR="00AB1D6D" w:rsidRPr="00150701">
                                <w:rPr>
                                  <w:rStyle w:val="Hyperlink"/>
                                  <w:lang w:val="fr-CA"/>
                                </w:rPr>
                                <w:t>https://uqam-ca.libguides.com/editeurs-predateurs/</w:t>
                              </w:r>
                            </w:hyperlink>
                            <w:r w:rsidR="00425929">
                              <w:rPr>
                                <w:lang w:val="fr-CA"/>
                              </w:rPr>
                              <w:t>.</w:t>
                            </w:r>
                            <w:r w:rsidR="00373EA7">
                              <w:rPr>
                                <w:lang w:val="fr-CA"/>
                              </w:rPr>
                              <w:t xml:space="preserve"> </w:t>
                            </w:r>
                          </w:p>
                          <w:p w14:paraId="51C67A31" w14:textId="254A632A" w:rsidR="009F4BAA" w:rsidRPr="00850A39" w:rsidRDefault="009F4BAA" w:rsidP="009F4BAA">
                            <w:pPr>
                              <w:spacing w:line="240" w:lineRule="auto"/>
                              <w:rPr>
                                <w:lang w:val="fr-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1" type="#_x0000_t202" style="position:absolute;left:0;text-align:left;margin-left:0;margin-top:0;width:479.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4"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493C66BC" w14:textId="3BF7900C" w:rsidR="00ED79A6" w:rsidRPr="00850A39" w:rsidRDefault="00304044" w:rsidP="0047656F">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5" w:history="1">
                        <w:r w:rsidR="00AB1D6D" w:rsidRPr="00150701">
                          <w:rPr>
                            <w:rStyle w:val="Hyperlink"/>
                            <w:lang w:val="fr-CA"/>
                          </w:rPr>
                          <w:t>https://uqam-ca.libguides.com/editeurs-predateurs/</w:t>
                        </w:r>
                      </w:hyperlink>
                      <w:r w:rsidR="00425929">
                        <w:rPr>
                          <w:lang w:val="fr-CA"/>
                        </w:rPr>
                        <w:t>.</w:t>
                      </w:r>
                      <w:r w:rsidR="00373EA7">
                        <w:rPr>
                          <w:lang w:val="fr-CA"/>
                        </w:rPr>
                        <w:t xml:space="preserve"> </w:t>
                      </w:r>
                    </w:p>
                    <w:p w14:paraId="51C67A31" w14:textId="254A632A" w:rsidR="009F4BAA" w:rsidRPr="00850A39" w:rsidRDefault="009F4BAA" w:rsidP="009F4BAA">
                      <w:pPr>
                        <w:spacing w:line="240" w:lineRule="auto"/>
                        <w:rPr>
                          <w:lang w:val="fr-CA"/>
                        </w:rPr>
                      </w:pPr>
                    </w:p>
                  </w:txbxContent>
                </v:textbox>
                <w10:wrap type="topAndBottom" anchorx="margin"/>
              </v:shape>
            </w:pict>
          </mc:Fallback>
        </mc:AlternateContent>
      </w:r>
    </w:p>
    <w:p w14:paraId="56C98EB8" w14:textId="2A8EEBDF" w:rsidR="000716F5" w:rsidRPr="0076205D" w:rsidRDefault="000716F5" w:rsidP="00005099">
      <w:pPr>
        <w:pStyle w:val="APA1"/>
      </w:pPr>
      <w:bookmarkStart w:id="32" w:name="_Toc130399351"/>
      <w:bookmarkStart w:id="33" w:name="_Toc127541228"/>
      <w:r w:rsidRPr="0076205D">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2BD6D512"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il est évident que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 xml:space="preserve">candidat beaucoup </w:t>
      </w:r>
      <w:r w:rsidR="000E0869">
        <w:rPr>
          <w:rFonts w:eastAsia="Times New Roman" w:cs="Times New Roman"/>
          <w:szCs w:val="24"/>
          <w:lang w:val="fr-CA"/>
        </w:rPr>
        <w:lastRenderedPageBreak/>
        <w:t>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5099">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46"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(preprint).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r w:rsidRPr="001662FF">
        <w:rPr>
          <w:i/>
          <w:iCs/>
          <w:lang w:val="fr-CA"/>
        </w:rPr>
        <w:t>Psychological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47"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48"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49"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005099">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B66E7C8" w14:textId="77777777" w:rsidR="00DA612C" w:rsidRPr="005F6035" w:rsidRDefault="00DA612C"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0"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une prépublication (p. ex., sur OSF ou PsyArXiv)</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r w:rsidR="009B0E09" w:rsidRPr="00887CC1">
              <w:rPr>
                <w:rFonts w:eastAsia="Times New Roman" w:cs="Times New Roman"/>
                <w:szCs w:val="24"/>
                <w:lang w:val="fr-CA"/>
              </w:rPr>
              <w:t>HARKing</w:t>
            </w:r>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5099">
      <w:pPr>
        <w:pStyle w:val="APA1"/>
      </w:pPr>
      <w:bookmarkStart w:id="38" w:name="_Toc130399354"/>
      <w:bookmarkStart w:id="39" w:name="_Toc127541231"/>
      <w:r>
        <w:lastRenderedPageBreak/>
        <w:t>Remerciements</w:t>
      </w:r>
      <w:bookmarkEnd w:id="38"/>
      <w:bookmarkEnd w:id="39"/>
    </w:p>
    <w:p w14:paraId="75444667" w14:textId="63A7BE8C"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5099">
      <w:pPr>
        <w:pStyle w:val="APA1"/>
      </w:pPr>
      <w:bookmarkStart w:id="40" w:name="_Toc130399355"/>
      <w:bookmarkStart w:id="41" w:name="_Toc127541232"/>
      <w:r w:rsidRPr="001506DB">
        <w:t>Références</w:t>
      </w:r>
      <w:bookmarkEnd w:id="40"/>
      <w:bookmarkEnd w:id="41"/>
    </w:p>
    <w:p w14:paraId="7D36B27B" w14:textId="6C8DFB83" w:rsidR="009E2FBD" w:rsidRPr="009E2FBD" w:rsidRDefault="00112AF0" w:rsidP="009E2FBD">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9E2FBD" w:rsidRPr="009E2FBD">
        <w:t xml:space="preserve">Al-Aidroos, N., Fiacconi, C., Powell, D., Marmurek, H., Newby-Clark, I., Spence, J., Stanley, D., &amp; Tric, L. (2018). </w:t>
      </w:r>
      <w:r w:rsidR="009E2FBD" w:rsidRPr="009E2FBD">
        <w:rPr>
          <w:i/>
        </w:rPr>
        <w:t>Statistical methods in theses: Guidelines and explanations</w:t>
      </w:r>
      <w:r w:rsidR="009E2FBD" w:rsidRPr="009E2FBD">
        <w:t xml:space="preserve">. </w:t>
      </w:r>
      <w:hyperlink r:id="rId51" w:history="1">
        <w:r w:rsidR="009E2FBD" w:rsidRPr="009E2FBD">
          <w:rPr>
            <w:rStyle w:val="Hyperlink"/>
          </w:rPr>
          <w:t>https://www.uoguelph.ca/psychology/graduate/thesis-statistics</w:t>
        </w:r>
      </w:hyperlink>
    </w:p>
    <w:p w14:paraId="39FD9720" w14:textId="310891FB" w:rsidR="009E2FBD" w:rsidRPr="009E2FBD" w:rsidRDefault="009E2FBD" w:rsidP="009E2FBD">
      <w:pPr>
        <w:pStyle w:val="EndNoteBibliography"/>
        <w:ind w:left="720" w:hanging="720"/>
      </w:pPr>
      <w:r w:rsidRPr="009E2FBD">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9E2FBD">
        <w:rPr>
          <w:i/>
        </w:rPr>
        <w:t>Nature Human Behaviour, 2</w:t>
      </w:r>
      <w:r w:rsidRPr="009E2FBD">
        <w:t xml:space="preserve">(9), 637-644. </w:t>
      </w:r>
      <w:hyperlink r:id="rId52" w:history="1">
        <w:r w:rsidRPr="009E2FBD">
          <w:rPr>
            <w:rStyle w:val="Hyperlink"/>
          </w:rPr>
          <w:t>https://doi.org/10.1038/s41562-018-0399-z</w:t>
        </w:r>
      </w:hyperlink>
      <w:r w:rsidRPr="009E2FBD">
        <w:t xml:space="preserve"> </w:t>
      </w:r>
    </w:p>
    <w:p w14:paraId="74AFA973" w14:textId="5F79851E" w:rsidR="009E2FBD" w:rsidRPr="009E2FBD" w:rsidRDefault="009E2FBD" w:rsidP="009E2FBD">
      <w:pPr>
        <w:pStyle w:val="EndNoteBibliography"/>
        <w:ind w:left="720" w:hanging="720"/>
      </w:pPr>
      <w:r w:rsidRPr="009E2FBD">
        <w:t xml:space="preserve">Chambers, C. (2018). </w:t>
      </w:r>
      <w:r w:rsidRPr="009E2FBD">
        <w:rPr>
          <w:i/>
        </w:rPr>
        <w:t>Strategies for improving study robustness in controversial research</w:t>
      </w:r>
      <w:r w:rsidRPr="009E2FBD">
        <w:t xml:space="preserve">. </w:t>
      </w:r>
      <w:hyperlink r:id="rId53" w:history="1">
        <w:r w:rsidRPr="009E2FBD">
          <w:rPr>
            <w:rStyle w:val="Hyperlink"/>
          </w:rPr>
          <w:t>https://osf.io/v7ndz</w:t>
        </w:r>
      </w:hyperlink>
    </w:p>
    <w:p w14:paraId="0063BA72" w14:textId="5C2CA777" w:rsidR="009E2FBD" w:rsidRPr="009E2FBD" w:rsidRDefault="009E2FBD" w:rsidP="009E2FBD">
      <w:pPr>
        <w:pStyle w:val="EndNoteBibliography"/>
        <w:ind w:left="720" w:hanging="720"/>
      </w:pPr>
      <w:r w:rsidRPr="009E2FBD">
        <w:t xml:space="preserve">Département de psychologie de l'Université du Québec à Montréal. (2020). </w:t>
      </w:r>
      <w:r w:rsidRPr="009E2FBD">
        <w:rPr>
          <w:i/>
        </w:rPr>
        <w:t>Politique d’encadrement du projet de recherche doctorale (PRD)</w:t>
      </w:r>
      <w:r w:rsidRPr="009E2FBD">
        <w:t xml:space="preserve">. </w:t>
      </w:r>
      <w:hyperlink r:id="rId54" w:history="1">
        <w:r w:rsidRPr="009E2FBD">
          <w:rPr>
            <w:rStyle w:val="Hyperlink"/>
          </w:rPr>
          <w:t>https://psychologie.uqam.ca/wp-content/uploads/sites/73/2021/01/Prd_-final-adopte%CC%81-copie.pdf</w:t>
        </w:r>
      </w:hyperlink>
    </w:p>
    <w:p w14:paraId="3AF1375B" w14:textId="4C65E204" w:rsidR="009E2FBD" w:rsidRPr="009E2FBD" w:rsidRDefault="009E2FBD" w:rsidP="009E2FBD">
      <w:pPr>
        <w:pStyle w:val="EndNoteBibliography"/>
        <w:ind w:left="720" w:hanging="720"/>
      </w:pPr>
      <w:r w:rsidRPr="009E2FBD">
        <w:t xml:space="preserve">Ferguson, C. J., &amp; Heene, M. (2012). A vast graveyard of undead theories: Publication bias and psychological science’s aversion to the null. </w:t>
      </w:r>
      <w:r w:rsidRPr="009E2FBD">
        <w:rPr>
          <w:i/>
        </w:rPr>
        <w:t>Perspectives on Psychological Science, 7</w:t>
      </w:r>
      <w:r w:rsidRPr="009E2FBD">
        <w:t xml:space="preserve">(6), 555-561. </w:t>
      </w:r>
      <w:hyperlink r:id="rId55" w:history="1">
        <w:r w:rsidRPr="009E2FBD">
          <w:rPr>
            <w:rStyle w:val="Hyperlink"/>
          </w:rPr>
          <w:t>https://doi.org/10.1177/1745691612459059</w:t>
        </w:r>
      </w:hyperlink>
      <w:r w:rsidRPr="009E2FBD">
        <w:t xml:space="preserve"> </w:t>
      </w:r>
    </w:p>
    <w:p w14:paraId="28C85313" w14:textId="3F0EC33C" w:rsidR="009E2FBD" w:rsidRPr="009E2FBD" w:rsidRDefault="009E2FBD" w:rsidP="009E2FBD">
      <w:pPr>
        <w:pStyle w:val="EndNoteBibliography"/>
        <w:ind w:left="720" w:hanging="720"/>
      </w:pPr>
      <w:r w:rsidRPr="009E2FBD">
        <w:lastRenderedPageBreak/>
        <w:t xml:space="preserve">Fiedler, K., Kutzner, F., &amp; Krueger, J. I. (2012). The long way from α-error control to validity proper:Problems with a short-sighted false-positive debate. </w:t>
      </w:r>
      <w:r w:rsidRPr="009E2FBD">
        <w:rPr>
          <w:i/>
        </w:rPr>
        <w:t>Perspectives on Psychological Science, 7</w:t>
      </w:r>
      <w:r w:rsidRPr="009E2FBD">
        <w:t xml:space="preserve">(6), 661-669. </w:t>
      </w:r>
      <w:hyperlink r:id="rId56" w:history="1">
        <w:r w:rsidRPr="009E2FBD">
          <w:rPr>
            <w:rStyle w:val="Hyperlink"/>
          </w:rPr>
          <w:t>https://doi.org/10.1177/1745691612462587</w:t>
        </w:r>
      </w:hyperlink>
      <w:r w:rsidRPr="009E2FBD">
        <w:t xml:space="preserve"> </w:t>
      </w:r>
    </w:p>
    <w:p w14:paraId="17B46F6B" w14:textId="5EB37B5C" w:rsidR="009E2FBD" w:rsidRPr="009E2FBD" w:rsidRDefault="009E2FBD" w:rsidP="009E2FBD">
      <w:pPr>
        <w:pStyle w:val="EndNoteBibliography"/>
        <w:ind w:left="720" w:hanging="720"/>
      </w:pPr>
      <w:r w:rsidRPr="009E2FBD">
        <w:t xml:space="preserve">Fonds de recherche du Québec. (2022). </w:t>
      </w:r>
      <w:r w:rsidRPr="009E2FBD">
        <w:rPr>
          <w:i/>
        </w:rPr>
        <w:t>Politique de diffusion en libre accès (version révisée)</w:t>
      </w:r>
      <w:r w:rsidRPr="009E2FBD">
        <w:t xml:space="preserve">. </w:t>
      </w:r>
      <w:hyperlink r:id="rId57" w:history="1">
        <w:r w:rsidRPr="009E2FBD">
          <w:rPr>
            <w:rStyle w:val="Hyperlink"/>
          </w:rPr>
          <w:t>https://frq.gouv.qc.ca/app/uploads/2022/06/politique-libre-acces-revisee_vf.pdf</w:t>
        </w:r>
      </w:hyperlink>
    </w:p>
    <w:p w14:paraId="4A6215A8" w14:textId="39D98214" w:rsidR="009E2FBD" w:rsidRPr="009E2FBD" w:rsidRDefault="009E2FBD" w:rsidP="009E2FBD">
      <w:pPr>
        <w:pStyle w:val="EndNoteBibliography"/>
        <w:ind w:left="720" w:hanging="720"/>
      </w:pPr>
      <w:r w:rsidRPr="009E2FBD">
        <w:t xml:space="preserve">Fraser, N., Momeni, F., Mayr, P., &amp; Peters, I. (2020). The relationship between biorxiv preprints, citations and altmetrics. </w:t>
      </w:r>
      <w:r w:rsidRPr="009E2FBD">
        <w:rPr>
          <w:i/>
        </w:rPr>
        <w:t>Quantitative Science Studies, 1</w:t>
      </w:r>
      <w:r w:rsidRPr="009E2FBD">
        <w:t xml:space="preserve">(2), 618-638. </w:t>
      </w:r>
      <w:hyperlink r:id="rId58" w:history="1">
        <w:r w:rsidRPr="009E2FBD">
          <w:rPr>
            <w:rStyle w:val="Hyperlink"/>
          </w:rPr>
          <w:t>https://doi.org/10.1162/qss_a_00043</w:t>
        </w:r>
      </w:hyperlink>
      <w:r w:rsidRPr="009E2FBD">
        <w:t xml:space="preserve"> </w:t>
      </w:r>
    </w:p>
    <w:p w14:paraId="419DD660" w14:textId="62DDEB9D" w:rsidR="009E2FBD" w:rsidRPr="009E2FBD" w:rsidRDefault="009E2FBD" w:rsidP="009E2FBD">
      <w:pPr>
        <w:pStyle w:val="EndNoteBibliography"/>
        <w:ind w:left="720" w:hanging="720"/>
      </w:pPr>
      <w:r w:rsidRPr="009E2FBD">
        <w:t xml:space="preserve">Fu, D. Y., &amp; Hughey, J. J. (2019). Releasing a preprint is associated with more attention and citations for the peer-reviewed article. </w:t>
      </w:r>
      <w:r w:rsidRPr="009E2FBD">
        <w:rPr>
          <w:i/>
        </w:rPr>
        <w:t>eLife, 8</w:t>
      </w:r>
      <w:r w:rsidRPr="009E2FBD">
        <w:t xml:space="preserve">, e52646. </w:t>
      </w:r>
      <w:hyperlink r:id="rId59" w:history="1">
        <w:r w:rsidRPr="009E2FBD">
          <w:rPr>
            <w:rStyle w:val="Hyperlink"/>
          </w:rPr>
          <w:t>https://doi.org/10.7554/eLife.52646</w:t>
        </w:r>
      </w:hyperlink>
      <w:r w:rsidRPr="009E2FBD">
        <w:t xml:space="preserve"> </w:t>
      </w:r>
    </w:p>
    <w:p w14:paraId="335641DF" w14:textId="77777777" w:rsidR="009E2FBD" w:rsidRPr="009E2FBD" w:rsidRDefault="009E2FBD" w:rsidP="009E2FBD">
      <w:pPr>
        <w:pStyle w:val="EndNoteBibliography"/>
        <w:ind w:left="720" w:hanging="720"/>
      </w:pPr>
      <w:r w:rsidRPr="009E2FBD">
        <w:t xml:space="preserve">Goldacre, B. (2009). </w:t>
      </w:r>
      <w:r w:rsidRPr="009E2FBD">
        <w:rPr>
          <w:i/>
        </w:rPr>
        <w:t>Bad science: Quacks, hacks, and big pharma flacks</w:t>
      </w:r>
      <w:r w:rsidRPr="009E2FBD">
        <w:t xml:space="preserve">. Fourth Estate. </w:t>
      </w:r>
    </w:p>
    <w:p w14:paraId="61925D8C" w14:textId="3FCA6D20" w:rsidR="009E2FBD" w:rsidRPr="009E2FBD" w:rsidRDefault="009E2FBD" w:rsidP="009E2FBD">
      <w:pPr>
        <w:pStyle w:val="EndNoteBibliography"/>
        <w:ind w:left="720" w:hanging="720"/>
      </w:pPr>
      <w:r w:rsidRPr="009E2FBD">
        <w:t xml:space="preserve">Gouvernement du Canada. </w:t>
      </w:r>
      <w:r w:rsidRPr="009E2FBD">
        <w:rPr>
          <w:i/>
        </w:rPr>
        <w:t>Déclaration de principes des trois organismes sur la gestion des données numériques</w:t>
      </w:r>
      <w:r w:rsidRPr="009E2FBD">
        <w:t xml:space="preserve">. </w:t>
      </w:r>
      <w:hyperlink r:id="rId60" w:history="1">
        <w:r w:rsidRPr="009E2FBD">
          <w:rPr>
            <w:rStyle w:val="Hyperlink"/>
          </w:rPr>
          <w:t>https://science.gc.ca/site/science/fr/financement-interorganismes-recherche/politiques-lignes-directrices/gestion-donnees-recherche/declaration-principes-trois-organismes-gestion-donnees-numeriques</w:t>
        </w:r>
      </w:hyperlink>
    </w:p>
    <w:p w14:paraId="50D8ACF4" w14:textId="32F99C50" w:rsidR="009E2FBD" w:rsidRPr="009E2FBD" w:rsidRDefault="009E2FBD" w:rsidP="009E2FBD">
      <w:pPr>
        <w:pStyle w:val="EndNoteBibliography"/>
        <w:ind w:left="720" w:hanging="720"/>
      </w:pPr>
      <w:r w:rsidRPr="009E2FBD">
        <w:t xml:space="preserve">Haeffel, G. J. (2022). Psychology needs to get tired of winning. </w:t>
      </w:r>
      <w:r w:rsidRPr="009E2FBD">
        <w:rPr>
          <w:i/>
        </w:rPr>
        <w:t>Royal Society Open Science, 9</w:t>
      </w:r>
      <w:r w:rsidRPr="009E2FBD">
        <w:t xml:space="preserve">(6), 220099. </w:t>
      </w:r>
      <w:hyperlink r:id="rId61" w:history="1">
        <w:r w:rsidRPr="009E2FBD">
          <w:rPr>
            <w:rStyle w:val="Hyperlink"/>
          </w:rPr>
          <w:t>https://doi.org/doi:10.1098/rsos.220099</w:t>
        </w:r>
      </w:hyperlink>
      <w:r w:rsidRPr="009E2FBD">
        <w:t xml:space="preserve"> </w:t>
      </w:r>
    </w:p>
    <w:p w14:paraId="59F0330D" w14:textId="53562181" w:rsidR="009E2FBD" w:rsidRPr="009E2FBD" w:rsidRDefault="009E2FBD" w:rsidP="009E2FBD">
      <w:pPr>
        <w:pStyle w:val="EndNoteBibliography"/>
        <w:ind w:left="720" w:hanging="720"/>
      </w:pPr>
      <w:r w:rsidRPr="009E2FBD">
        <w:t xml:space="preserve">Holmberg, K., Hedman, J., Bowman, T. D., Didegah, F., &amp; Laakso, M. (2020). Do articles in open access journals have more frequent altmetric activity than articles in subscription-based journals? An investigation of the research output of finnish universities. </w:t>
      </w:r>
      <w:r w:rsidRPr="009E2FBD">
        <w:rPr>
          <w:i/>
        </w:rPr>
        <w:t>Scientometrics, 122</w:t>
      </w:r>
      <w:r w:rsidRPr="009E2FBD">
        <w:t xml:space="preserve">(1), 645-659. </w:t>
      </w:r>
      <w:hyperlink r:id="rId62" w:history="1">
        <w:r w:rsidRPr="009E2FBD">
          <w:rPr>
            <w:rStyle w:val="Hyperlink"/>
          </w:rPr>
          <w:t>https://doi.org/10.1007/s11192-019-03301-x</w:t>
        </w:r>
      </w:hyperlink>
      <w:r w:rsidRPr="009E2FBD">
        <w:t xml:space="preserve"> </w:t>
      </w:r>
    </w:p>
    <w:p w14:paraId="4D114F1A" w14:textId="3D39B867" w:rsidR="009E2FBD" w:rsidRPr="009E2FBD" w:rsidRDefault="009E2FBD" w:rsidP="009E2FBD">
      <w:pPr>
        <w:pStyle w:val="EndNoteBibliography"/>
        <w:ind w:left="720" w:hanging="720"/>
      </w:pPr>
      <w:r w:rsidRPr="009E2FBD">
        <w:lastRenderedPageBreak/>
        <w:t xml:space="preserve">Hoy, M. B. (2020). Rise of the Rxivs: How preprint servers are changing the publishing process. </w:t>
      </w:r>
      <w:r w:rsidRPr="009E2FBD">
        <w:rPr>
          <w:i/>
        </w:rPr>
        <w:t>Medical Reference Services Quarterly, 39</w:t>
      </w:r>
      <w:r w:rsidRPr="009E2FBD">
        <w:t xml:space="preserve">(1), 84-89. </w:t>
      </w:r>
      <w:hyperlink r:id="rId63" w:history="1">
        <w:r w:rsidRPr="009E2FBD">
          <w:rPr>
            <w:rStyle w:val="Hyperlink"/>
          </w:rPr>
          <w:t>https://doi.org/10.1080/02763869.2020.1704597</w:t>
        </w:r>
      </w:hyperlink>
      <w:r w:rsidRPr="009E2FBD">
        <w:t xml:space="preserve"> </w:t>
      </w:r>
    </w:p>
    <w:p w14:paraId="730B0DCB" w14:textId="628C8E05" w:rsidR="009E2FBD" w:rsidRPr="009E2FBD" w:rsidRDefault="009E2FBD" w:rsidP="009E2FBD">
      <w:pPr>
        <w:pStyle w:val="EndNoteBibliography"/>
        <w:ind w:left="720" w:hanging="720"/>
      </w:pPr>
      <w:r w:rsidRPr="009E2FBD">
        <w:t xml:space="preserve">Ioannidis, J. P. A. (2005). Why most published research findings are false. </w:t>
      </w:r>
      <w:r w:rsidRPr="009E2FBD">
        <w:rPr>
          <w:i/>
        </w:rPr>
        <w:t>PLoS Medicine, 2</w:t>
      </w:r>
      <w:r w:rsidRPr="009E2FBD">
        <w:t xml:space="preserve">(8), e124. </w:t>
      </w:r>
      <w:hyperlink r:id="rId64" w:history="1">
        <w:r w:rsidRPr="009E2FBD">
          <w:rPr>
            <w:rStyle w:val="Hyperlink"/>
          </w:rPr>
          <w:t>https://doi.org/10.1371/journal.pmed.0020124</w:t>
        </w:r>
      </w:hyperlink>
      <w:r w:rsidRPr="009E2FBD">
        <w:t xml:space="preserve"> </w:t>
      </w:r>
    </w:p>
    <w:p w14:paraId="7818E488" w14:textId="1CECA1E2" w:rsidR="009E2FBD" w:rsidRPr="009E2FBD" w:rsidRDefault="009E2FBD" w:rsidP="009E2FBD">
      <w:pPr>
        <w:pStyle w:val="EndNoteBibliography"/>
        <w:ind w:left="720" w:hanging="720"/>
      </w:pPr>
      <w:r w:rsidRPr="009E2FBD">
        <w:t xml:space="preserve">Langham-Putrow, A., Bakker, C., &amp; Riegelman, A. (2021). Is the open access citation advantage real? A systematic review of the citation of open access and subscription-based articles. </w:t>
      </w:r>
      <w:r w:rsidRPr="009E2FBD">
        <w:rPr>
          <w:i/>
        </w:rPr>
        <w:t>PloS One, 16</w:t>
      </w:r>
      <w:r w:rsidRPr="009E2FBD">
        <w:t xml:space="preserve">(6), e0253129. </w:t>
      </w:r>
      <w:hyperlink r:id="rId65" w:history="1">
        <w:r w:rsidRPr="009E2FBD">
          <w:rPr>
            <w:rStyle w:val="Hyperlink"/>
          </w:rPr>
          <w:t>https://doi.org/10.1371/journal.pone.0253129</w:t>
        </w:r>
      </w:hyperlink>
      <w:r w:rsidRPr="009E2FBD">
        <w:t xml:space="preserve"> </w:t>
      </w:r>
    </w:p>
    <w:p w14:paraId="2EBDDF22" w14:textId="15EC8947" w:rsidR="009E2FBD" w:rsidRPr="009E2FBD" w:rsidRDefault="009E2FBD" w:rsidP="009E2FBD">
      <w:pPr>
        <w:pStyle w:val="EndNoteBibliography"/>
        <w:ind w:left="720" w:hanging="720"/>
      </w:pPr>
      <w:r w:rsidRPr="009E2FBD">
        <w:t xml:space="preserve">Meyer, M. N. (2018). Practical tips for ethical data sharing. </w:t>
      </w:r>
      <w:r w:rsidRPr="009E2FBD">
        <w:rPr>
          <w:i/>
        </w:rPr>
        <w:t>Advances in Methods and Practices in Psychological Science, 1</w:t>
      </w:r>
      <w:r w:rsidRPr="009E2FBD">
        <w:t xml:space="preserve">(1), 131-144. </w:t>
      </w:r>
      <w:hyperlink r:id="rId66" w:history="1">
        <w:r w:rsidRPr="009E2FBD">
          <w:rPr>
            <w:rStyle w:val="Hyperlink"/>
          </w:rPr>
          <w:t>https://doi.org/10.1177/2515245917747656</w:t>
        </w:r>
      </w:hyperlink>
      <w:r w:rsidRPr="009E2FBD">
        <w:t xml:space="preserve"> </w:t>
      </w:r>
    </w:p>
    <w:p w14:paraId="760C366D" w14:textId="06490522" w:rsidR="009E2FBD" w:rsidRPr="009E2FBD" w:rsidRDefault="009E2FBD" w:rsidP="009E2FBD">
      <w:pPr>
        <w:pStyle w:val="EndNoteBibliography"/>
        <w:ind w:left="720" w:hanging="720"/>
      </w:pPr>
      <w:r w:rsidRPr="009E2FBD">
        <w:t xml:space="preserve">Nosek, B. A., Ebersole, C. R., DeHaven, A. C., &amp; Mellor, D. T. (2018). The preregistration revolution. </w:t>
      </w:r>
      <w:r w:rsidRPr="009E2FBD">
        <w:rPr>
          <w:i/>
        </w:rPr>
        <w:t>Proceedings of the National Academy of Sciences, 115</w:t>
      </w:r>
      <w:r w:rsidRPr="009E2FBD">
        <w:t xml:space="preserve">(11), 2600-2606. </w:t>
      </w:r>
      <w:hyperlink r:id="rId67" w:history="1">
        <w:r w:rsidRPr="009E2FBD">
          <w:rPr>
            <w:rStyle w:val="Hyperlink"/>
          </w:rPr>
          <w:t>https://doi.org/doi:10.1073/pnas.1708274114</w:t>
        </w:r>
      </w:hyperlink>
      <w:r w:rsidRPr="009E2FBD">
        <w:t xml:space="preserve"> </w:t>
      </w:r>
    </w:p>
    <w:p w14:paraId="1FA22A00" w14:textId="0CC96C57" w:rsidR="009E2FBD" w:rsidRPr="009E2FBD" w:rsidRDefault="009E2FBD" w:rsidP="009E2FBD">
      <w:pPr>
        <w:pStyle w:val="EndNoteBibliography"/>
        <w:ind w:left="720" w:hanging="720"/>
      </w:pPr>
      <w:r w:rsidRPr="009E2FBD">
        <w:t xml:space="preserve">Nosek, B. A., &amp; Lakens, D. (2014). Registered reports: A method to increase the credibility of published results. </w:t>
      </w:r>
      <w:r w:rsidRPr="009E2FBD">
        <w:rPr>
          <w:i/>
        </w:rPr>
        <w:t>Social Psychology, 45</w:t>
      </w:r>
      <w:r w:rsidRPr="009E2FBD">
        <w:t xml:space="preserve">, 137-141. </w:t>
      </w:r>
      <w:hyperlink r:id="rId68" w:history="1">
        <w:r w:rsidRPr="009E2FBD">
          <w:rPr>
            <w:rStyle w:val="Hyperlink"/>
          </w:rPr>
          <w:t>https://doi.org/10.1027/1864-9335/a000192</w:t>
        </w:r>
      </w:hyperlink>
      <w:r w:rsidRPr="009E2FBD">
        <w:t xml:space="preserve"> </w:t>
      </w:r>
    </w:p>
    <w:p w14:paraId="5B8F38C1" w14:textId="017F1199" w:rsidR="009E2FBD" w:rsidRPr="009E2FBD" w:rsidRDefault="009E2FBD" w:rsidP="009E2FBD">
      <w:pPr>
        <w:pStyle w:val="EndNoteBibliography"/>
        <w:ind w:left="720" w:hanging="720"/>
      </w:pPr>
      <w:r w:rsidRPr="009E2FBD">
        <w:t xml:space="preserve">Nuijten, M. B., Hartgerink, C. H. J., van Assen, M. A. L. M., Epskamp, S., &amp; Wicherts, J. M. (2016). The prevalence of statistical reporting errors in psychology (1985–2013). </w:t>
      </w:r>
      <w:r w:rsidRPr="009E2FBD">
        <w:rPr>
          <w:i/>
        </w:rPr>
        <w:t>Behavior Research Methods, 48</w:t>
      </w:r>
      <w:r w:rsidRPr="009E2FBD">
        <w:t xml:space="preserve">(4), 1205-1226. </w:t>
      </w:r>
      <w:hyperlink r:id="rId69" w:history="1">
        <w:r w:rsidRPr="009E2FBD">
          <w:rPr>
            <w:rStyle w:val="Hyperlink"/>
          </w:rPr>
          <w:t>https://doi.org/10.3758/s13428-015-0664-2</w:t>
        </w:r>
      </w:hyperlink>
      <w:r w:rsidRPr="009E2FBD">
        <w:t xml:space="preserve"> </w:t>
      </w:r>
    </w:p>
    <w:p w14:paraId="09CF31E4" w14:textId="4B9033D3" w:rsidR="009E2FBD" w:rsidRPr="009E2FBD" w:rsidRDefault="009E2FBD" w:rsidP="009E2FBD">
      <w:pPr>
        <w:pStyle w:val="EndNoteBibliography"/>
        <w:ind w:left="720" w:hanging="720"/>
      </w:pPr>
      <w:r w:rsidRPr="009E2FBD">
        <w:t xml:space="preserve">Open Science Collaboration. (2015). Estimating the reproducibility of psychological science. </w:t>
      </w:r>
      <w:r w:rsidRPr="009E2FBD">
        <w:rPr>
          <w:i/>
        </w:rPr>
        <w:t>Science, 349</w:t>
      </w:r>
      <w:r w:rsidRPr="009E2FBD">
        <w:t xml:space="preserve">(6251), aac4716. </w:t>
      </w:r>
      <w:hyperlink r:id="rId70" w:history="1">
        <w:r w:rsidRPr="009E2FBD">
          <w:rPr>
            <w:rStyle w:val="Hyperlink"/>
          </w:rPr>
          <w:t>https://doi.org/doi:10.1126/science.aac4716</w:t>
        </w:r>
      </w:hyperlink>
      <w:r w:rsidRPr="009E2FBD">
        <w:t xml:space="preserve"> </w:t>
      </w:r>
    </w:p>
    <w:p w14:paraId="282D352F" w14:textId="471F9BC9" w:rsidR="009E2FBD" w:rsidRPr="009E2FBD" w:rsidRDefault="009E2FBD" w:rsidP="009E2FBD">
      <w:pPr>
        <w:pStyle w:val="EndNoteBibliography"/>
        <w:ind w:left="720" w:hanging="720"/>
      </w:pPr>
      <w:r w:rsidRPr="009E2FBD">
        <w:lastRenderedPageBreak/>
        <w:t xml:space="preserve">Quintana, D. S. (2020). </w:t>
      </w:r>
      <w:r w:rsidRPr="009E2FBD">
        <w:rPr>
          <w:i/>
        </w:rPr>
        <w:t>Five things about open and reproducible science that every early career researcher should know</w:t>
      </w:r>
      <w:r w:rsidRPr="009E2FBD">
        <w:t xml:space="preserve">. </w:t>
      </w:r>
      <w:hyperlink r:id="rId71" w:history="1">
        <w:r w:rsidRPr="009E2FBD">
          <w:rPr>
            <w:rStyle w:val="Hyperlink"/>
          </w:rPr>
          <w:t>https://osf.io/2jt9u</w:t>
        </w:r>
      </w:hyperlink>
    </w:p>
    <w:p w14:paraId="4B1F2198" w14:textId="7DD5CDBE" w:rsidR="009E2FBD" w:rsidRPr="009E2FBD" w:rsidRDefault="009E2FBD" w:rsidP="009E2FBD">
      <w:pPr>
        <w:pStyle w:val="EndNoteBibliography"/>
        <w:ind w:left="720" w:hanging="720"/>
      </w:pPr>
      <w:r w:rsidRPr="009E2FBD">
        <w:t xml:space="preserve">R Core Team. (2022). R: A language and environment for statistical computing (version 4.2.1) [Computer software]. </w:t>
      </w:r>
      <w:r w:rsidRPr="009E2FBD">
        <w:rPr>
          <w:i/>
        </w:rPr>
        <w:t>R Foundation for Statistical Computing</w:t>
      </w:r>
      <w:r w:rsidRPr="009E2FBD">
        <w:t xml:space="preserve">, Vienna, Austria. </w:t>
      </w:r>
      <w:hyperlink r:id="rId72" w:history="1">
        <w:r w:rsidRPr="009E2FBD">
          <w:rPr>
            <w:rStyle w:val="Hyperlink"/>
          </w:rPr>
          <w:t>https://www.R-project.org/</w:t>
        </w:r>
      </w:hyperlink>
      <w:r w:rsidRPr="009E2FBD">
        <w:t xml:space="preserve"> </w:t>
      </w:r>
    </w:p>
    <w:p w14:paraId="0947729E" w14:textId="77777777" w:rsidR="009E2FBD" w:rsidRPr="009E2FBD" w:rsidRDefault="009E2FBD" w:rsidP="009E2FBD">
      <w:pPr>
        <w:pStyle w:val="EndNoteBibliography"/>
        <w:ind w:left="720" w:hanging="720"/>
      </w:pPr>
      <w:r w:rsidRPr="009E2FBD">
        <w:t xml:space="preserve">Rawat, S., &amp; Meena, S. (2014). Publish or perish: Where are we heading? </w:t>
      </w:r>
      <w:r w:rsidRPr="009E2FBD">
        <w:rPr>
          <w:i/>
        </w:rPr>
        <w:t>Journal of Research in Medical Sciences, 19</w:t>
      </w:r>
      <w:r w:rsidRPr="009E2FBD">
        <w:t xml:space="preserve">(2), 87-89. </w:t>
      </w:r>
    </w:p>
    <w:p w14:paraId="73860971" w14:textId="1CD5438E" w:rsidR="009E2FBD" w:rsidRPr="009E2FBD" w:rsidRDefault="009E2FBD" w:rsidP="009E2FBD">
      <w:pPr>
        <w:pStyle w:val="EndNoteBibliography"/>
        <w:ind w:left="720" w:hanging="720"/>
      </w:pPr>
      <w:r w:rsidRPr="009E2FBD">
        <w:t xml:space="preserve">Rubin, M. (2020). Does preregistration improve the credibility of research findings? </w:t>
      </w:r>
      <w:r w:rsidRPr="009E2FBD">
        <w:rPr>
          <w:i/>
        </w:rPr>
        <w:t>The Quantitative Methods for Psychology, 16</w:t>
      </w:r>
      <w:r w:rsidRPr="009E2FBD">
        <w:t xml:space="preserve">(4), 376–390. </w:t>
      </w:r>
      <w:hyperlink r:id="rId73" w:history="1">
        <w:r w:rsidRPr="009E2FBD">
          <w:rPr>
            <w:rStyle w:val="Hyperlink"/>
          </w:rPr>
          <w:t>https://doi.org/10.20982/tqmp.16.4.p376</w:t>
        </w:r>
      </w:hyperlink>
      <w:r w:rsidRPr="009E2FBD">
        <w:t xml:space="preserve"> </w:t>
      </w:r>
    </w:p>
    <w:p w14:paraId="218454FA" w14:textId="571F3BF3" w:rsidR="009E2FBD" w:rsidRPr="009E2FBD" w:rsidRDefault="009E2FBD" w:rsidP="009E2FBD">
      <w:pPr>
        <w:pStyle w:val="EndNoteBibliography"/>
        <w:ind w:left="720" w:hanging="720"/>
      </w:pPr>
      <w:r w:rsidRPr="009E2FBD">
        <w:t xml:space="preserve">Rubin, M., &amp; Donkin, C. (2022). Exploratory hypothesis tests can be more compelling than confirmatory hypothesis tests. </w:t>
      </w:r>
      <w:r w:rsidRPr="009E2FBD">
        <w:rPr>
          <w:i/>
        </w:rPr>
        <w:t>Philosophical Psychology</w:t>
      </w:r>
      <w:r w:rsidRPr="009E2FBD">
        <w:t xml:space="preserve">, 1-29. </w:t>
      </w:r>
      <w:hyperlink r:id="rId74" w:history="1">
        <w:r w:rsidRPr="009E2FBD">
          <w:rPr>
            <w:rStyle w:val="Hyperlink"/>
          </w:rPr>
          <w:t>https://doi.org/10.1080/09515089.2022.2113771</w:t>
        </w:r>
      </w:hyperlink>
      <w:r w:rsidRPr="009E2FBD">
        <w:t xml:space="preserve"> </w:t>
      </w:r>
    </w:p>
    <w:p w14:paraId="6FC8220A" w14:textId="16C57B57" w:rsidR="009E2FBD" w:rsidRPr="009E2FBD" w:rsidRDefault="009E2FBD" w:rsidP="009E2FBD">
      <w:pPr>
        <w:pStyle w:val="EndNoteBibliography"/>
        <w:ind w:left="720" w:hanging="720"/>
      </w:pPr>
      <w:r w:rsidRPr="009E2FBD">
        <w:t xml:space="preserve">Sarewitz, D. (2016). The pressure to publish pushes down quality. </w:t>
      </w:r>
      <w:r w:rsidRPr="009E2FBD">
        <w:rPr>
          <w:i/>
        </w:rPr>
        <w:t>Nature, 533</w:t>
      </w:r>
      <w:r w:rsidRPr="009E2FBD">
        <w:t xml:space="preserve">(7602), 147-147. </w:t>
      </w:r>
      <w:hyperlink r:id="rId75" w:history="1">
        <w:r w:rsidRPr="009E2FBD">
          <w:rPr>
            <w:rStyle w:val="Hyperlink"/>
          </w:rPr>
          <w:t>https://doi.org/10.1038/533147a</w:t>
        </w:r>
      </w:hyperlink>
      <w:r w:rsidRPr="009E2FBD">
        <w:t xml:space="preserve"> </w:t>
      </w:r>
    </w:p>
    <w:p w14:paraId="31CC0BDC" w14:textId="0D2C62ED" w:rsidR="009E2FBD" w:rsidRPr="009E2FBD" w:rsidRDefault="009E2FBD" w:rsidP="009E2FBD">
      <w:pPr>
        <w:pStyle w:val="EndNoteBibliography"/>
        <w:ind w:left="720" w:hanging="720"/>
      </w:pPr>
      <w:r w:rsidRPr="009E2FBD">
        <w:t xml:space="preserve">Schwab, S., Janiaud, P., Dayan, M., Amrhein, V., Panczak, R., Palagi, P. M., Hemkens, L. G., Ramon, M., Rothen, N., Senn, S., Furrer, E., &amp; Held, L. (2022). Ten simple rules for good research practice. </w:t>
      </w:r>
      <w:r w:rsidRPr="009E2FBD">
        <w:rPr>
          <w:i/>
        </w:rPr>
        <w:t>PLoS Computational Biology, 18</w:t>
      </w:r>
      <w:r w:rsidRPr="009E2FBD">
        <w:t xml:space="preserve">(6), e1010139. </w:t>
      </w:r>
      <w:hyperlink r:id="rId76" w:history="1">
        <w:r w:rsidRPr="009E2FBD">
          <w:rPr>
            <w:rStyle w:val="Hyperlink"/>
          </w:rPr>
          <w:t>https://doi.org/10.1371/journal.pcbi.1010139</w:t>
        </w:r>
      </w:hyperlink>
      <w:r w:rsidRPr="009E2FBD">
        <w:t xml:space="preserve"> </w:t>
      </w:r>
    </w:p>
    <w:p w14:paraId="00205140" w14:textId="7654B282" w:rsidR="009E2FBD" w:rsidRPr="009E2FBD" w:rsidRDefault="009E2FBD" w:rsidP="009E2FBD">
      <w:pPr>
        <w:pStyle w:val="EndNoteBibliography"/>
        <w:ind w:left="720" w:hanging="720"/>
      </w:pPr>
      <w:r w:rsidRPr="009E2FBD">
        <w:t xml:space="preserve">Schwartz, B. (2023). Psychology’s increased rigor is good news. But is it only good news? </w:t>
      </w:r>
      <w:r w:rsidRPr="009E2FBD">
        <w:rPr>
          <w:i/>
        </w:rPr>
        <w:t>Behavioral Scientist</w:t>
      </w:r>
      <w:r w:rsidRPr="009E2FBD">
        <w:t xml:space="preserve">. </w:t>
      </w:r>
      <w:hyperlink r:id="rId77" w:history="1">
        <w:r w:rsidRPr="009E2FBD">
          <w:rPr>
            <w:rStyle w:val="Hyperlink"/>
          </w:rPr>
          <w:t>https://behavioralscientist.org/psychologys-increased-rigor-is-good-news-but-is-it-only-good-news/</w:t>
        </w:r>
      </w:hyperlink>
    </w:p>
    <w:p w14:paraId="26EE3AC9" w14:textId="289268F7" w:rsidR="009E2FBD" w:rsidRPr="009E2FBD" w:rsidRDefault="009E2FBD" w:rsidP="009E2FBD">
      <w:pPr>
        <w:pStyle w:val="EndNoteBibliography"/>
        <w:ind w:left="720" w:hanging="720"/>
      </w:pPr>
      <w:r w:rsidRPr="009E2FBD">
        <w:lastRenderedPageBreak/>
        <w:t xml:space="preserve">Serghiou, S., &amp; Ioannidis, J. P. A. (2018). Altmetric scores, citations, and publication of studies posted as preprints. </w:t>
      </w:r>
      <w:r w:rsidRPr="009E2FBD">
        <w:rPr>
          <w:i/>
        </w:rPr>
        <w:t>JAMA, 319</w:t>
      </w:r>
      <w:r w:rsidRPr="009E2FBD">
        <w:t xml:space="preserve">(4), 402-404. </w:t>
      </w:r>
      <w:hyperlink r:id="rId78" w:history="1">
        <w:r w:rsidRPr="009E2FBD">
          <w:rPr>
            <w:rStyle w:val="Hyperlink"/>
          </w:rPr>
          <w:t>https://doi.org/10.1001/jama.2017.21168</w:t>
        </w:r>
      </w:hyperlink>
      <w:r w:rsidRPr="009E2FBD">
        <w:t xml:space="preserve"> </w:t>
      </w:r>
    </w:p>
    <w:p w14:paraId="63268B43" w14:textId="250A62FA" w:rsidR="009E2FBD" w:rsidRPr="009E2FBD" w:rsidRDefault="009E2FBD" w:rsidP="009E2FBD">
      <w:pPr>
        <w:pStyle w:val="EndNoteBibliography"/>
        <w:ind w:left="720" w:hanging="720"/>
      </w:pPr>
      <w:r w:rsidRPr="009E2FBD">
        <w:t xml:space="preserve">Wagenmakers, E.-J., Wetzels, R., Borsboom, D., van der Maas, H. L. J., &amp; Kievit, R. A. (2012). An agenda for purely confirmatory research. </w:t>
      </w:r>
      <w:r w:rsidRPr="009E2FBD">
        <w:rPr>
          <w:i/>
        </w:rPr>
        <w:t>Perspectives on Psychological Science, 7</w:t>
      </w:r>
      <w:r w:rsidRPr="009E2FBD">
        <w:t xml:space="preserve">(6), 632-638. </w:t>
      </w:r>
      <w:hyperlink r:id="rId79" w:history="1">
        <w:r w:rsidRPr="009E2FBD">
          <w:rPr>
            <w:rStyle w:val="Hyperlink"/>
          </w:rPr>
          <w:t>https://doi.org/10.1177/1745691612463078</w:t>
        </w:r>
      </w:hyperlink>
      <w:r w:rsidRPr="009E2FBD">
        <w:t xml:space="preserve"> </w:t>
      </w:r>
    </w:p>
    <w:p w14:paraId="46DB473A" w14:textId="6846ADC5" w:rsidR="009E2FBD" w:rsidRPr="009E2FBD" w:rsidRDefault="009E2FBD" w:rsidP="009E2FBD">
      <w:pPr>
        <w:pStyle w:val="EndNoteBibliography"/>
        <w:ind w:left="720" w:hanging="720"/>
      </w:pPr>
      <w:r w:rsidRPr="009E2FBD">
        <w:t xml:space="preserve">Wicherts, J. M., Veldkamp, C. L. S., Augusteijn, H. E. M., Bakker, M., van Aert, R. C. M., &amp; van Assen, M. A. L. M. (2016). Degrees of freedom in planning, running, analyzing, and reporting psychological studies: A checklist to avoid p-hacking. </w:t>
      </w:r>
      <w:r w:rsidRPr="009E2FBD">
        <w:rPr>
          <w:i/>
        </w:rPr>
        <w:t>Frontiers in Psychology, 7</w:t>
      </w:r>
      <w:r w:rsidRPr="009E2FBD">
        <w:t xml:space="preserve">. </w:t>
      </w:r>
      <w:hyperlink r:id="rId80" w:history="1">
        <w:r w:rsidRPr="009E2FBD">
          <w:rPr>
            <w:rStyle w:val="Hyperlink"/>
          </w:rPr>
          <w:t>https://doi.org/10.3389/fpsyg.2016.01832</w:t>
        </w:r>
      </w:hyperlink>
      <w:r w:rsidRPr="009E2FBD">
        <w:t xml:space="preserve"> </w:t>
      </w:r>
    </w:p>
    <w:p w14:paraId="37E262F0" w14:textId="1433A819" w:rsidR="009E2FBD" w:rsidRPr="009E2FBD" w:rsidRDefault="009E2FBD" w:rsidP="009E2FBD">
      <w:pPr>
        <w:pStyle w:val="EndNoteBibliography"/>
        <w:ind w:left="720" w:hanging="720"/>
      </w:pPr>
      <w:r w:rsidRPr="009E2FBD">
        <w:t xml:space="preserve">Wiggins, B. J., &amp; Christopherson, C. D. (2019). The replication crisis in psychology: An overview for theoretical and philosophical psychology. </w:t>
      </w:r>
      <w:r w:rsidRPr="009E2FBD">
        <w:rPr>
          <w:i/>
        </w:rPr>
        <w:t>Journal of Theoretical and Philosophical Psychology, 39</w:t>
      </w:r>
      <w:r w:rsidRPr="009E2FBD">
        <w:t xml:space="preserve">, 202-217. </w:t>
      </w:r>
      <w:hyperlink r:id="rId81" w:history="1">
        <w:r w:rsidRPr="009E2FBD">
          <w:rPr>
            <w:rStyle w:val="Hyperlink"/>
          </w:rPr>
          <w:t>https://doi.org/10.1037/teo0000137</w:t>
        </w:r>
      </w:hyperlink>
      <w:r w:rsidRPr="009E2FBD">
        <w:t xml:space="preserve"> </w:t>
      </w:r>
    </w:p>
    <w:p w14:paraId="24E41651" w14:textId="377F7CD2"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4B2D" w14:textId="77777777" w:rsidR="00D65528" w:rsidRDefault="00D65528" w:rsidP="00BB06AD">
      <w:pPr>
        <w:spacing w:line="240" w:lineRule="auto"/>
      </w:pPr>
      <w:r>
        <w:separator/>
      </w:r>
    </w:p>
  </w:endnote>
  <w:endnote w:type="continuationSeparator" w:id="0">
    <w:p w14:paraId="00497B74" w14:textId="77777777" w:rsidR="00D65528" w:rsidRDefault="00D65528" w:rsidP="00BB06AD">
      <w:pPr>
        <w:spacing w:line="240" w:lineRule="auto"/>
      </w:pPr>
      <w:r>
        <w:continuationSeparator/>
      </w:r>
    </w:p>
  </w:endnote>
  <w:endnote w:type="continuationNotice" w:id="1">
    <w:p w14:paraId="2BD5E5E2" w14:textId="77777777" w:rsidR="00D65528" w:rsidRDefault="00D655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F2EC" w14:textId="77777777" w:rsidR="00D65528" w:rsidRDefault="00D65528" w:rsidP="00BB06AD">
      <w:pPr>
        <w:spacing w:line="240" w:lineRule="auto"/>
      </w:pPr>
      <w:r>
        <w:separator/>
      </w:r>
    </w:p>
  </w:footnote>
  <w:footnote w:type="continuationSeparator" w:id="0">
    <w:p w14:paraId="39445CB0" w14:textId="77777777" w:rsidR="00D65528" w:rsidRDefault="00D65528" w:rsidP="00BB06AD">
      <w:pPr>
        <w:spacing w:line="240" w:lineRule="auto"/>
      </w:pPr>
      <w:r>
        <w:continuationSeparator/>
      </w:r>
    </w:p>
  </w:footnote>
  <w:footnote w:type="continuationNotice" w:id="1">
    <w:p w14:paraId="5B67ACC2" w14:textId="77777777" w:rsidR="00D65528" w:rsidRDefault="00D655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record-ids&gt;&lt;/item&gt;&lt;/Libraries&gt;"/>
  </w:docVars>
  <w:rsids>
    <w:rsidRoot w:val="00BB06AD"/>
    <w:rsid w:val="00000E55"/>
    <w:rsid w:val="00003767"/>
    <w:rsid w:val="00005069"/>
    <w:rsid w:val="00005099"/>
    <w:rsid w:val="000051C8"/>
    <w:rsid w:val="000059C2"/>
    <w:rsid w:val="00005F8B"/>
    <w:rsid w:val="00006833"/>
    <w:rsid w:val="00010963"/>
    <w:rsid w:val="00011075"/>
    <w:rsid w:val="000110FD"/>
    <w:rsid w:val="000123C9"/>
    <w:rsid w:val="00012D2B"/>
    <w:rsid w:val="00013FC9"/>
    <w:rsid w:val="0001448B"/>
    <w:rsid w:val="000152AA"/>
    <w:rsid w:val="00015BC7"/>
    <w:rsid w:val="00015C32"/>
    <w:rsid w:val="00015C87"/>
    <w:rsid w:val="00016808"/>
    <w:rsid w:val="00017129"/>
    <w:rsid w:val="000208EE"/>
    <w:rsid w:val="00020CD1"/>
    <w:rsid w:val="0002154D"/>
    <w:rsid w:val="0002181F"/>
    <w:rsid w:val="000219DF"/>
    <w:rsid w:val="000222FC"/>
    <w:rsid w:val="00022463"/>
    <w:rsid w:val="00023E8D"/>
    <w:rsid w:val="00024036"/>
    <w:rsid w:val="00024537"/>
    <w:rsid w:val="000245C5"/>
    <w:rsid w:val="00024D05"/>
    <w:rsid w:val="00024FFF"/>
    <w:rsid w:val="0002616F"/>
    <w:rsid w:val="0002649C"/>
    <w:rsid w:val="000267AB"/>
    <w:rsid w:val="00026ACA"/>
    <w:rsid w:val="00026E9F"/>
    <w:rsid w:val="00027132"/>
    <w:rsid w:val="00027899"/>
    <w:rsid w:val="00030411"/>
    <w:rsid w:val="000306F7"/>
    <w:rsid w:val="00030900"/>
    <w:rsid w:val="00030B87"/>
    <w:rsid w:val="00031098"/>
    <w:rsid w:val="0003129D"/>
    <w:rsid w:val="000316D9"/>
    <w:rsid w:val="00031909"/>
    <w:rsid w:val="00031D17"/>
    <w:rsid w:val="00032B0B"/>
    <w:rsid w:val="00033179"/>
    <w:rsid w:val="00035213"/>
    <w:rsid w:val="0003557A"/>
    <w:rsid w:val="00036219"/>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7DA8"/>
    <w:rsid w:val="00080EB2"/>
    <w:rsid w:val="000810CE"/>
    <w:rsid w:val="000815D3"/>
    <w:rsid w:val="000816F6"/>
    <w:rsid w:val="00081B20"/>
    <w:rsid w:val="000836B3"/>
    <w:rsid w:val="000837EA"/>
    <w:rsid w:val="00084209"/>
    <w:rsid w:val="00084326"/>
    <w:rsid w:val="0008441F"/>
    <w:rsid w:val="000850E2"/>
    <w:rsid w:val="00085B62"/>
    <w:rsid w:val="00087D8E"/>
    <w:rsid w:val="00090151"/>
    <w:rsid w:val="00090890"/>
    <w:rsid w:val="00090D8F"/>
    <w:rsid w:val="00091D0E"/>
    <w:rsid w:val="000929FB"/>
    <w:rsid w:val="00092F88"/>
    <w:rsid w:val="00093E6F"/>
    <w:rsid w:val="0009482A"/>
    <w:rsid w:val="000948AB"/>
    <w:rsid w:val="000959E9"/>
    <w:rsid w:val="00095EC7"/>
    <w:rsid w:val="00096627"/>
    <w:rsid w:val="00096A62"/>
    <w:rsid w:val="00096D6E"/>
    <w:rsid w:val="000A0623"/>
    <w:rsid w:val="000A10B2"/>
    <w:rsid w:val="000A14E3"/>
    <w:rsid w:val="000A2031"/>
    <w:rsid w:val="000A2310"/>
    <w:rsid w:val="000A36A2"/>
    <w:rsid w:val="000A39FE"/>
    <w:rsid w:val="000A3CFB"/>
    <w:rsid w:val="000A489B"/>
    <w:rsid w:val="000A68CE"/>
    <w:rsid w:val="000A6C1B"/>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60A"/>
    <w:rsid w:val="000C3EF6"/>
    <w:rsid w:val="000C3FA2"/>
    <w:rsid w:val="000C464F"/>
    <w:rsid w:val="000C4651"/>
    <w:rsid w:val="000C4B51"/>
    <w:rsid w:val="000C63A4"/>
    <w:rsid w:val="000D0B47"/>
    <w:rsid w:val="000D1CB2"/>
    <w:rsid w:val="000D2729"/>
    <w:rsid w:val="000D322E"/>
    <w:rsid w:val="000D4260"/>
    <w:rsid w:val="000D4CA5"/>
    <w:rsid w:val="000D659C"/>
    <w:rsid w:val="000D7863"/>
    <w:rsid w:val="000D78D2"/>
    <w:rsid w:val="000E0869"/>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1019E"/>
    <w:rsid w:val="00110856"/>
    <w:rsid w:val="00110F93"/>
    <w:rsid w:val="001110E6"/>
    <w:rsid w:val="00111540"/>
    <w:rsid w:val="00111E3A"/>
    <w:rsid w:val="00112AF0"/>
    <w:rsid w:val="001154BE"/>
    <w:rsid w:val="001161D2"/>
    <w:rsid w:val="00120BF1"/>
    <w:rsid w:val="00121957"/>
    <w:rsid w:val="00121C1A"/>
    <w:rsid w:val="001220C4"/>
    <w:rsid w:val="001224D8"/>
    <w:rsid w:val="001226CD"/>
    <w:rsid w:val="00122EBC"/>
    <w:rsid w:val="00124423"/>
    <w:rsid w:val="001245D6"/>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506DB"/>
    <w:rsid w:val="00150DA6"/>
    <w:rsid w:val="00150DAD"/>
    <w:rsid w:val="001512D6"/>
    <w:rsid w:val="00152C82"/>
    <w:rsid w:val="00153683"/>
    <w:rsid w:val="00154DA2"/>
    <w:rsid w:val="00154E6A"/>
    <w:rsid w:val="00155B86"/>
    <w:rsid w:val="00156AFE"/>
    <w:rsid w:val="0015704B"/>
    <w:rsid w:val="00157ADC"/>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5998"/>
    <w:rsid w:val="00175CEF"/>
    <w:rsid w:val="00176276"/>
    <w:rsid w:val="001766A8"/>
    <w:rsid w:val="0017746F"/>
    <w:rsid w:val="001802E4"/>
    <w:rsid w:val="00180827"/>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604A"/>
    <w:rsid w:val="00196352"/>
    <w:rsid w:val="001965A3"/>
    <w:rsid w:val="00196A50"/>
    <w:rsid w:val="001A0033"/>
    <w:rsid w:val="001A0470"/>
    <w:rsid w:val="001A04BC"/>
    <w:rsid w:val="001A2232"/>
    <w:rsid w:val="001A23D5"/>
    <w:rsid w:val="001A24F1"/>
    <w:rsid w:val="001A2F00"/>
    <w:rsid w:val="001A412A"/>
    <w:rsid w:val="001A4D6F"/>
    <w:rsid w:val="001A5D55"/>
    <w:rsid w:val="001A6674"/>
    <w:rsid w:val="001A6911"/>
    <w:rsid w:val="001A6CE4"/>
    <w:rsid w:val="001A7A38"/>
    <w:rsid w:val="001A7FF8"/>
    <w:rsid w:val="001B05E9"/>
    <w:rsid w:val="001B1371"/>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55C0"/>
    <w:rsid w:val="001C55C1"/>
    <w:rsid w:val="001C599C"/>
    <w:rsid w:val="001C6A43"/>
    <w:rsid w:val="001C73A5"/>
    <w:rsid w:val="001C744C"/>
    <w:rsid w:val="001C7882"/>
    <w:rsid w:val="001D0B89"/>
    <w:rsid w:val="001D0E3C"/>
    <w:rsid w:val="001D0FA0"/>
    <w:rsid w:val="001D12BE"/>
    <w:rsid w:val="001D1943"/>
    <w:rsid w:val="001D281D"/>
    <w:rsid w:val="001D2B09"/>
    <w:rsid w:val="001D3AD5"/>
    <w:rsid w:val="001D4E4A"/>
    <w:rsid w:val="001D589E"/>
    <w:rsid w:val="001D5A25"/>
    <w:rsid w:val="001D60AC"/>
    <w:rsid w:val="001D67CE"/>
    <w:rsid w:val="001D6A67"/>
    <w:rsid w:val="001D6B25"/>
    <w:rsid w:val="001D7D8E"/>
    <w:rsid w:val="001D7DF2"/>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2000C4"/>
    <w:rsid w:val="002001EE"/>
    <w:rsid w:val="00200289"/>
    <w:rsid w:val="00200824"/>
    <w:rsid w:val="0020115E"/>
    <w:rsid w:val="002014B8"/>
    <w:rsid w:val="00201B7D"/>
    <w:rsid w:val="00202675"/>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D2B"/>
    <w:rsid w:val="00236B46"/>
    <w:rsid w:val="00237720"/>
    <w:rsid w:val="0023775A"/>
    <w:rsid w:val="00241574"/>
    <w:rsid w:val="00242ECF"/>
    <w:rsid w:val="002437A2"/>
    <w:rsid w:val="002437A6"/>
    <w:rsid w:val="00243B57"/>
    <w:rsid w:val="00244B89"/>
    <w:rsid w:val="00245358"/>
    <w:rsid w:val="00245D6E"/>
    <w:rsid w:val="00245DBB"/>
    <w:rsid w:val="00246C2F"/>
    <w:rsid w:val="00247257"/>
    <w:rsid w:val="00247A7E"/>
    <w:rsid w:val="00250202"/>
    <w:rsid w:val="00250B59"/>
    <w:rsid w:val="002510B7"/>
    <w:rsid w:val="00251BDC"/>
    <w:rsid w:val="00252452"/>
    <w:rsid w:val="00252A47"/>
    <w:rsid w:val="00253A7E"/>
    <w:rsid w:val="00253C2C"/>
    <w:rsid w:val="0025494D"/>
    <w:rsid w:val="00254C35"/>
    <w:rsid w:val="002552A8"/>
    <w:rsid w:val="0025568D"/>
    <w:rsid w:val="0025670F"/>
    <w:rsid w:val="002567AB"/>
    <w:rsid w:val="0025692E"/>
    <w:rsid w:val="00256986"/>
    <w:rsid w:val="00257604"/>
    <w:rsid w:val="00257939"/>
    <w:rsid w:val="00257A28"/>
    <w:rsid w:val="00257C68"/>
    <w:rsid w:val="00257E9D"/>
    <w:rsid w:val="00260EFA"/>
    <w:rsid w:val="002617DB"/>
    <w:rsid w:val="00261D7B"/>
    <w:rsid w:val="00263605"/>
    <w:rsid w:val="002646B1"/>
    <w:rsid w:val="00265D43"/>
    <w:rsid w:val="00266C40"/>
    <w:rsid w:val="00267A32"/>
    <w:rsid w:val="00267D81"/>
    <w:rsid w:val="002706E7"/>
    <w:rsid w:val="00271E67"/>
    <w:rsid w:val="002727BA"/>
    <w:rsid w:val="00273C64"/>
    <w:rsid w:val="00273F07"/>
    <w:rsid w:val="00273FA1"/>
    <w:rsid w:val="00274EAE"/>
    <w:rsid w:val="00275A04"/>
    <w:rsid w:val="00276658"/>
    <w:rsid w:val="00276970"/>
    <w:rsid w:val="002769D7"/>
    <w:rsid w:val="00276FCA"/>
    <w:rsid w:val="002778BF"/>
    <w:rsid w:val="0028080B"/>
    <w:rsid w:val="00280B81"/>
    <w:rsid w:val="002826F3"/>
    <w:rsid w:val="0028331C"/>
    <w:rsid w:val="00284027"/>
    <w:rsid w:val="002847D8"/>
    <w:rsid w:val="00284BFD"/>
    <w:rsid w:val="00285849"/>
    <w:rsid w:val="00285A1E"/>
    <w:rsid w:val="00285BA2"/>
    <w:rsid w:val="0028792C"/>
    <w:rsid w:val="00290914"/>
    <w:rsid w:val="00290DBB"/>
    <w:rsid w:val="00290F70"/>
    <w:rsid w:val="0029204E"/>
    <w:rsid w:val="00292ACF"/>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60D1"/>
    <w:rsid w:val="002A61CA"/>
    <w:rsid w:val="002A6BFC"/>
    <w:rsid w:val="002A7742"/>
    <w:rsid w:val="002B122F"/>
    <w:rsid w:val="002B1277"/>
    <w:rsid w:val="002B1B68"/>
    <w:rsid w:val="002B2D8C"/>
    <w:rsid w:val="002B4B87"/>
    <w:rsid w:val="002B5D12"/>
    <w:rsid w:val="002B5D89"/>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E00"/>
    <w:rsid w:val="002F1E99"/>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DCC"/>
    <w:rsid w:val="00313313"/>
    <w:rsid w:val="003134A9"/>
    <w:rsid w:val="003143AE"/>
    <w:rsid w:val="00314419"/>
    <w:rsid w:val="0031495D"/>
    <w:rsid w:val="00315719"/>
    <w:rsid w:val="003157C2"/>
    <w:rsid w:val="00315F8B"/>
    <w:rsid w:val="0031655A"/>
    <w:rsid w:val="00316628"/>
    <w:rsid w:val="00316982"/>
    <w:rsid w:val="0031736E"/>
    <w:rsid w:val="00317967"/>
    <w:rsid w:val="003205AE"/>
    <w:rsid w:val="00320B1A"/>
    <w:rsid w:val="00320EF4"/>
    <w:rsid w:val="00321901"/>
    <w:rsid w:val="00321C83"/>
    <w:rsid w:val="003225B4"/>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69C6"/>
    <w:rsid w:val="00337121"/>
    <w:rsid w:val="00337C5C"/>
    <w:rsid w:val="003413B3"/>
    <w:rsid w:val="00341ACD"/>
    <w:rsid w:val="00341E92"/>
    <w:rsid w:val="00341F6C"/>
    <w:rsid w:val="00342F69"/>
    <w:rsid w:val="0034317B"/>
    <w:rsid w:val="0034321A"/>
    <w:rsid w:val="00345168"/>
    <w:rsid w:val="003459A8"/>
    <w:rsid w:val="00345ACB"/>
    <w:rsid w:val="00345C70"/>
    <w:rsid w:val="00346126"/>
    <w:rsid w:val="0034620C"/>
    <w:rsid w:val="003462C5"/>
    <w:rsid w:val="003465A7"/>
    <w:rsid w:val="0034685D"/>
    <w:rsid w:val="00346906"/>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7836"/>
    <w:rsid w:val="003679A2"/>
    <w:rsid w:val="00367FCF"/>
    <w:rsid w:val="00370161"/>
    <w:rsid w:val="00371963"/>
    <w:rsid w:val="00372320"/>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9EB"/>
    <w:rsid w:val="003C3FFD"/>
    <w:rsid w:val="003C488A"/>
    <w:rsid w:val="003C4F41"/>
    <w:rsid w:val="003C5083"/>
    <w:rsid w:val="003C5355"/>
    <w:rsid w:val="003C5DB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9DA"/>
    <w:rsid w:val="003D5E9F"/>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C45"/>
    <w:rsid w:val="00403EC1"/>
    <w:rsid w:val="004046A5"/>
    <w:rsid w:val="00407652"/>
    <w:rsid w:val="004078CB"/>
    <w:rsid w:val="00407BEA"/>
    <w:rsid w:val="00407C17"/>
    <w:rsid w:val="00410083"/>
    <w:rsid w:val="00410688"/>
    <w:rsid w:val="004109C7"/>
    <w:rsid w:val="004140E1"/>
    <w:rsid w:val="00415BF9"/>
    <w:rsid w:val="00417C1D"/>
    <w:rsid w:val="00420A1F"/>
    <w:rsid w:val="0042150A"/>
    <w:rsid w:val="00422A58"/>
    <w:rsid w:val="00423AC5"/>
    <w:rsid w:val="004243A2"/>
    <w:rsid w:val="0042509B"/>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554E"/>
    <w:rsid w:val="00436D9B"/>
    <w:rsid w:val="00437B5C"/>
    <w:rsid w:val="0044000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473"/>
    <w:rsid w:val="00456510"/>
    <w:rsid w:val="00457112"/>
    <w:rsid w:val="004573C8"/>
    <w:rsid w:val="0045757D"/>
    <w:rsid w:val="00461FE0"/>
    <w:rsid w:val="00462010"/>
    <w:rsid w:val="00462996"/>
    <w:rsid w:val="00462BEB"/>
    <w:rsid w:val="0046388E"/>
    <w:rsid w:val="0046412D"/>
    <w:rsid w:val="00464357"/>
    <w:rsid w:val="004647A0"/>
    <w:rsid w:val="00464A73"/>
    <w:rsid w:val="004659B4"/>
    <w:rsid w:val="00466063"/>
    <w:rsid w:val="004661BD"/>
    <w:rsid w:val="004662FA"/>
    <w:rsid w:val="00466829"/>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6A"/>
    <w:rsid w:val="0047759E"/>
    <w:rsid w:val="004775CC"/>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934"/>
    <w:rsid w:val="004A2F07"/>
    <w:rsid w:val="004A4038"/>
    <w:rsid w:val="004A4218"/>
    <w:rsid w:val="004A49D6"/>
    <w:rsid w:val="004A4F98"/>
    <w:rsid w:val="004A504A"/>
    <w:rsid w:val="004A5E94"/>
    <w:rsid w:val="004A6065"/>
    <w:rsid w:val="004A661B"/>
    <w:rsid w:val="004A6D63"/>
    <w:rsid w:val="004B057D"/>
    <w:rsid w:val="004B1BC4"/>
    <w:rsid w:val="004B217B"/>
    <w:rsid w:val="004B2507"/>
    <w:rsid w:val="004B2835"/>
    <w:rsid w:val="004B2E2C"/>
    <w:rsid w:val="004B385C"/>
    <w:rsid w:val="004B40BE"/>
    <w:rsid w:val="004B41DF"/>
    <w:rsid w:val="004B458D"/>
    <w:rsid w:val="004B57AB"/>
    <w:rsid w:val="004B59A3"/>
    <w:rsid w:val="004B6195"/>
    <w:rsid w:val="004B61D7"/>
    <w:rsid w:val="004B6857"/>
    <w:rsid w:val="004C052E"/>
    <w:rsid w:val="004C1A3A"/>
    <w:rsid w:val="004C21D6"/>
    <w:rsid w:val="004C22AA"/>
    <w:rsid w:val="004C3FE3"/>
    <w:rsid w:val="004C5A20"/>
    <w:rsid w:val="004C6065"/>
    <w:rsid w:val="004C637C"/>
    <w:rsid w:val="004C6E35"/>
    <w:rsid w:val="004C706B"/>
    <w:rsid w:val="004C7E8C"/>
    <w:rsid w:val="004D05BC"/>
    <w:rsid w:val="004D09BD"/>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3AC"/>
    <w:rsid w:val="005271FF"/>
    <w:rsid w:val="0052788A"/>
    <w:rsid w:val="005302AB"/>
    <w:rsid w:val="00531200"/>
    <w:rsid w:val="005318E6"/>
    <w:rsid w:val="00532C82"/>
    <w:rsid w:val="00532FED"/>
    <w:rsid w:val="0053404E"/>
    <w:rsid w:val="005359A8"/>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2128"/>
    <w:rsid w:val="005826AA"/>
    <w:rsid w:val="00582797"/>
    <w:rsid w:val="005832D1"/>
    <w:rsid w:val="005832FA"/>
    <w:rsid w:val="0058338D"/>
    <w:rsid w:val="00583B7B"/>
    <w:rsid w:val="00583C93"/>
    <w:rsid w:val="005841F6"/>
    <w:rsid w:val="005847FE"/>
    <w:rsid w:val="00584CAE"/>
    <w:rsid w:val="005854AF"/>
    <w:rsid w:val="005855E0"/>
    <w:rsid w:val="005864A9"/>
    <w:rsid w:val="005864CD"/>
    <w:rsid w:val="005868E1"/>
    <w:rsid w:val="00586FE3"/>
    <w:rsid w:val="005906A1"/>
    <w:rsid w:val="0059078B"/>
    <w:rsid w:val="00591737"/>
    <w:rsid w:val="005922DF"/>
    <w:rsid w:val="00593D02"/>
    <w:rsid w:val="00593D87"/>
    <w:rsid w:val="00594A15"/>
    <w:rsid w:val="005957B5"/>
    <w:rsid w:val="005958A7"/>
    <w:rsid w:val="005959F9"/>
    <w:rsid w:val="005975AE"/>
    <w:rsid w:val="00597EB1"/>
    <w:rsid w:val="005A090C"/>
    <w:rsid w:val="005A290C"/>
    <w:rsid w:val="005A3293"/>
    <w:rsid w:val="005A44F2"/>
    <w:rsid w:val="005A4C51"/>
    <w:rsid w:val="005A4F48"/>
    <w:rsid w:val="005A5456"/>
    <w:rsid w:val="005A64C0"/>
    <w:rsid w:val="005A71B9"/>
    <w:rsid w:val="005B0264"/>
    <w:rsid w:val="005B2319"/>
    <w:rsid w:val="005B393D"/>
    <w:rsid w:val="005B3CFE"/>
    <w:rsid w:val="005B4B83"/>
    <w:rsid w:val="005B6400"/>
    <w:rsid w:val="005B67F6"/>
    <w:rsid w:val="005B712A"/>
    <w:rsid w:val="005B7504"/>
    <w:rsid w:val="005B7A1E"/>
    <w:rsid w:val="005B7A8F"/>
    <w:rsid w:val="005B7F24"/>
    <w:rsid w:val="005C091E"/>
    <w:rsid w:val="005C1468"/>
    <w:rsid w:val="005C24C6"/>
    <w:rsid w:val="005C3470"/>
    <w:rsid w:val="005C3564"/>
    <w:rsid w:val="005C40BE"/>
    <w:rsid w:val="005C4FF9"/>
    <w:rsid w:val="005C6306"/>
    <w:rsid w:val="005C6574"/>
    <w:rsid w:val="005C6B95"/>
    <w:rsid w:val="005C6E1D"/>
    <w:rsid w:val="005C7099"/>
    <w:rsid w:val="005C7D99"/>
    <w:rsid w:val="005D06CE"/>
    <w:rsid w:val="005D0D51"/>
    <w:rsid w:val="005D0F6C"/>
    <w:rsid w:val="005D1E11"/>
    <w:rsid w:val="005D2782"/>
    <w:rsid w:val="005D2A2E"/>
    <w:rsid w:val="005D34AA"/>
    <w:rsid w:val="005D4C35"/>
    <w:rsid w:val="005D532E"/>
    <w:rsid w:val="005D625F"/>
    <w:rsid w:val="005D69C5"/>
    <w:rsid w:val="005D6ECA"/>
    <w:rsid w:val="005D6F82"/>
    <w:rsid w:val="005D79B7"/>
    <w:rsid w:val="005E020B"/>
    <w:rsid w:val="005E0545"/>
    <w:rsid w:val="005E0710"/>
    <w:rsid w:val="005E1BCB"/>
    <w:rsid w:val="005E1F75"/>
    <w:rsid w:val="005E3844"/>
    <w:rsid w:val="005E4064"/>
    <w:rsid w:val="005E4B47"/>
    <w:rsid w:val="005E559E"/>
    <w:rsid w:val="005E5806"/>
    <w:rsid w:val="005E5EE0"/>
    <w:rsid w:val="005E672C"/>
    <w:rsid w:val="005F0BE0"/>
    <w:rsid w:val="005F0D00"/>
    <w:rsid w:val="005F143F"/>
    <w:rsid w:val="005F1A81"/>
    <w:rsid w:val="005F2793"/>
    <w:rsid w:val="005F27A2"/>
    <w:rsid w:val="005F2CFC"/>
    <w:rsid w:val="005F357D"/>
    <w:rsid w:val="005F4158"/>
    <w:rsid w:val="005F44D3"/>
    <w:rsid w:val="005F519F"/>
    <w:rsid w:val="005F554E"/>
    <w:rsid w:val="005F5940"/>
    <w:rsid w:val="005F6035"/>
    <w:rsid w:val="006001DE"/>
    <w:rsid w:val="006004A7"/>
    <w:rsid w:val="0060102B"/>
    <w:rsid w:val="00601FF8"/>
    <w:rsid w:val="0060262B"/>
    <w:rsid w:val="00602880"/>
    <w:rsid w:val="00602DF2"/>
    <w:rsid w:val="006056F4"/>
    <w:rsid w:val="00605862"/>
    <w:rsid w:val="00606F61"/>
    <w:rsid w:val="00610542"/>
    <w:rsid w:val="006110F9"/>
    <w:rsid w:val="006118AF"/>
    <w:rsid w:val="00611C62"/>
    <w:rsid w:val="00613527"/>
    <w:rsid w:val="00614049"/>
    <w:rsid w:val="00614491"/>
    <w:rsid w:val="00614ED3"/>
    <w:rsid w:val="00615D76"/>
    <w:rsid w:val="00616705"/>
    <w:rsid w:val="006168FF"/>
    <w:rsid w:val="00621EBD"/>
    <w:rsid w:val="006221C8"/>
    <w:rsid w:val="0062291F"/>
    <w:rsid w:val="0062292E"/>
    <w:rsid w:val="006230F7"/>
    <w:rsid w:val="00623400"/>
    <w:rsid w:val="00624D95"/>
    <w:rsid w:val="00631BCB"/>
    <w:rsid w:val="00631DA7"/>
    <w:rsid w:val="006328C1"/>
    <w:rsid w:val="00632EA2"/>
    <w:rsid w:val="0063351F"/>
    <w:rsid w:val="00633978"/>
    <w:rsid w:val="006344EC"/>
    <w:rsid w:val="00635CCB"/>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66CF"/>
    <w:rsid w:val="00666DC1"/>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293D"/>
    <w:rsid w:val="00682B7B"/>
    <w:rsid w:val="00682FD4"/>
    <w:rsid w:val="00683DC6"/>
    <w:rsid w:val="00684C35"/>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EDA"/>
    <w:rsid w:val="006C3142"/>
    <w:rsid w:val="006C4D5C"/>
    <w:rsid w:val="006C6026"/>
    <w:rsid w:val="006C7089"/>
    <w:rsid w:val="006C78AF"/>
    <w:rsid w:val="006D0F50"/>
    <w:rsid w:val="006D135B"/>
    <w:rsid w:val="006D154C"/>
    <w:rsid w:val="006D18A4"/>
    <w:rsid w:val="006D1A5C"/>
    <w:rsid w:val="006D2023"/>
    <w:rsid w:val="006D238D"/>
    <w:rsid w:val="006D2CF3"/>
    <w:rsid w:val="006D2EB9"/>
    <w:rsid w:val="006D3223"/>
    <w:rsid w:val="006D3DC3"/>
    <w:rsid w:val="006D3DFD"/>
    <w:rsid w:val="006D4357"/>
    <w:rsid w:val="006D4AA8"/>
    <w:rsid w:val="006D4E62"/>
    <w:rsid w:val="006D4EB0"/>
    <w:rsid w:val="006D5145"/>
    <w:rsid w:val="006D5C42"/>
    <w:rsid w:val="006D70DD"/>
    <w:rsid w:val="006D723F"/>
    <w:rsid w:val="006D76C7"/>
    <w:rsid w:val="006D7A79"/>
    <w:rsid w:val="006E06FC"/>
    <w:rsid w:val="006E0983"/>
    <w:rsid w:val="006E0A5A"/>
    <w:rsid w:val="006E1D71"/>
    <w:rsid w:val="006E21D7"/>
    <w:rsid w:val="006E2334"/>
    <w:rsid w:val="006E2357"/>
    <w:rsid w:val="006E2F39"/>
    <w:rsid w:val="006E3234"/>
    <w:rsid w:val="006E6217"/>
    <w:rsid w:val="006E65FF"/>
    <w:rsid w:val="006E6A3E"/>
    <w:rsid w:val="006E6A9C"/>
    <w:rsid w:val="006E73F0"/>
    <w:rsid w:val="006E7461"/>
    <w:rsid w:val="006E7A35"/>
    <w:rsid w:val="006E7F87"/>
    <w:rsid w:val="006F0A8F"/>
    <w:rsid w:val="006F0A9C"/>
    <w:rsid w:val="006F0AA7"/>
    <w:rsid w:val="006F0EC1"/>
    <w:rsid w:val="006F1BB4"/>
    <w:rsid w:val="006F31C6"/>
    <w:rsid w:val="006F3342"/>
    <w:rsid w:val="006F3346"/>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7F26"/>
    <w:rsid w:val="0072099D"/>
    <w:rsid w:val="00721070"/>
    <w:rsid w:val="00721AD0"/>
    <w:rsid w:val="00721D76"/>
    <w:rsid w:val="00723241"/>
    <w:rsid w:val="007235B4"/>
    <w:rsid w:val="00723D3E"/>
    <w:rsid w:val="007248F9"/>
    <w:rsid w:val="0072495A"/>
    <w:rsid w:val="00724AB9"/>
    <w:rsid w:val="00724C53"/>
    <w:rsid w:val="00725869"/>
    <w:rsid w:val="0072633D"/>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856"/>
    <w:rsid w:val="00745841"/>
    <w:rsid w:val="00746BF9"/>
    <w:rsid w:val="007477CD"/>
    <w:rsid w:val="007521FF"/>
    <w:rsid w:val="0075284F"/>
    <w:rsid w:val="00752E58"/>
    <w:rsid w:val="00753325"/>
    <w:rsid w:val="00753D85"/>
    <w:rsid w:val="007553D3"/>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CEA"/>
    <w:rsid w:val="0077367E"/>
    <w:rsid w:val="00774C71"/>
    <w:rsid w:val="007758A3"/>
    <w:rsid w:val="007776FC"/>
    <w:rsid w:val="007802BB"/>
    <w:rsid w:val="007804A1"/>
    <w:rsid w:val="00781654"/>
    <w:rsid w:val="007821E5"/>
    <w:rsid w:val="007834B1"/>
    <w:rsid w:val="007841F8"/>
    <w:rsid w:val="00784CAF"/>
    <w:rsid w:val="00784CB6"/>
    <w:rsid w:val="00785A01"/>
    <w:rsid w:val="0078600A"/>
    <w:rsid w:val="007860D6"/>
    <w:rsid w:val="00786289"/>
    <w:rsid w:val="0078681E"/>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CAF"/>
    <w:rsid w:val="007B6F63"/>
    <w:rsid w:val="007B735D"/>
    <w:rsid w:val="007C00F5"/>
    <w:rsid w:val="007C01BF"/>
    <w:rsid w:val="007C08C8"/>
    <w:rsid w:val="007C0972"/>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75CD"/>
    <w:rsid w:val="007F068B"/>
    <w:rsid w:val="007F07A3"/>
    <w:rsid w:val="007F2491"/>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BE2"/>
    <w:rsid w:val="00806B3E"/>
    <w:rsid w:val="00810D47"/>
    <w:rsid w:val="00811410"/>
    <w:rsid w:val="00811C8E"/>
    <w:rsid w:val="0081269A"/>
    <w:rsid w:val="008128F5"/>
    <w:rsid w:val="00813DBC"/>
    <w:rsid w:val="00813EA3"/>
    <w:rsid w:val="0081494F"/>
    <w:rsid w:val="00815297"/>
    <w:rsid w:val="00815B1F"/>
    <w:rsid w:val="00815B8E"/>
    <w:rsid w:val="00816F0F"/>
    <w:rsid w:val="00817461"/>
    <w:rsid w:val="008177E3"/>
    <w:rsid w:val="00817CE3"/>
    <w:rsid w:val="00817E02"/>
    <w:rsid w:val="00820751"/>
    <w:rsid w:val="008210C5"/>
    <w:rsid w:val="008217E8"/>
    <w:rsid w:val="0082251C"/>
    <w:rsid w:val="0082351F"/>
    <w:rsid w:val="008238FD"/>
    <w:rsid w:val="00823D8F"/>
    <w:rsid w:val="008247A4"/>
    <w:rsid w:val="00824A3C"/>
    <w:rsid w:val="00824E76"/>
    <w:rsid w:val="00825A90"/>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321E"/>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0A1"/>
    <w:rsid w:val="00876EE7"/>
    <w:rsid w:val="00876F27"/>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1AE7"/>
    <w:rsid w:val="00891BF5"/>
    <w:rsid w:val="00892C3E"/>
    <w:rsid w:val="00892D6F"/>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E51"/>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4D7B"/>
    <w:rsid w:val="008D4F94"/>
    <w:rsid w:val="008D5028"/>
    <w:rsid w:val="008D55FC"/>
    <w:rsid w:val="008D56E3"/>
    <w:rsid w:val="008D5BC0"/>
    <w:rsid w:val="008D76B1"/>
    <w:rsid w:val="008E0C02"/>
    <w:rsid w:val="008E1882"/>
    <w:rsid w:val="008E19B9"/>
    <w:rsid w:val="008E2522"/>
    <w:rsid w:val="008E2953"/>
    <w:rsid w:val="008E2A41"/>
    <w:rsid w:val="008E2FC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C83"/>
    <w:rsid w:val="0092620B"/>
    <w:rsid w:val="009262D1"/>
    <w:rsid w:val="00926397"/>
    <w:rsid w:val="00927396"/>
    <w:rsid w:val="009278BA"/>
    <w:rsid w:val="00930361"/>
    <w:rsid w:val="00930522"/>
    <w:rsid w:val="00932551"/>
    <w:rsid w:val="00932816"/>
    <w:rsid w:val="00933113"/>
    <w:rsid w:val="00933B13"/>
    <w:rsid w:val="00934DCF"/>
    <w:rsid w:val="009351B9"/>
    <w:rsid w:val="009366FA"/>
    <w:rsid w:val="0093764A"/>
    <w:rsid w:val="009378E0"/>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701"/>
    <w:rsid w:val="00957167"/>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70F"/>
    <w:rsid w:val="00995367"/>
    <w:rsid w:val="00995907"/>
    <w:rsid w:val="009A085E"/>
    <w:rsid w:val="009A0CEF"/>
    <w:rsid w:val="009A1DC6"/>
    <w:rsid w:val="009A20C6"/>
    <w:rsid w:val="009A2374"/>
    <w:rsid w:val="009A3B91"/>
    <w:rsid w:val="009A4B2D"/>
    <w:rsid w:val="009A50F0"/>
    <w:rsid w:val="009A530D"/>
    <w:rsid w:val="009A554E"/>
    <w:rsid w:val="009A57ED"/>
    <w:rsid w:val="009A5FAD"/>
    <w:rsid w:val="009A5FF2"/>
    <w:rsid w:val="009A7156"/>
    <w:rsid w:val="009A7D72"/>
    <w:rsid w:val="009B0E09"/>
    <w:rsid w:val="009B150C"/>
    <w:rsid w:val="009B17C8"/>
    <w:rsid w:val="009B2A36"/>
    <w:rsid w:val="009B2EDE"/>
    <w:rsid w:val="009B2FC8"/>
    <w:rsid w:val="009B332C"/>
    <w:rsid w:val="009B4290"/>
    <w:rsid w:val="009B438B"/>
    <w:rsid w:val="009B468E"/>
    <w:rsid w:val="009B4DB5"/>
    <w:rsid w:val="009B5A1C"/>
    <w:rsid w:val="009B5B48"/>
    <w:rsid w:val="009B5FB6"/>
    <w:rsid w:val="009B6EB2"/>
    <w:rsid w:val="009B73D0"/>
    <w:rsid w:val="009C0430"/>
    <w:rsid w:val="009C16C9"/>
    <w:rsid w:val="009C36E1"/>
    <w:rsid w:val="009C526B"/>
    <w:rsid w:val="009C5282"/>
    <w:rsid w:val="009C58A2"/>
    <w:rsid w:val="009C6446"/>
    <w:rsid w:val="009C6810"/>
    <w:rsid w:val="009C7317"/>
    <w:rsid w:val="009C7FA0"/>
    <w:rsid w:val="009D0588"/>
    <w:rsid w:val="009D0BDC"/>
    <w:rsid w:val="009D0ECA"/>
    <w:rsid w:val="009D119F"/>
    <w:rsid w:val="009D1D4C"/>
    <w:rsid w:val="009D1EC6"/>
    <w:rsid w:val="009D302C"/>
    <w:rsid w:val="009D3475"/>
    <w:rsid w:val="009D4F2F"/>
    <w:rsid w:val="009D56AB"/>
    <w:rsid w:val="009D5F0B"/>
    <w:rsid w:val="009D61BE"/>
    <w:rsid w:val="009D6F4E"/>
    <w:rsid w:val="009D7D01"/>
    <w:rsid w:val="009D7F11"/>
    <w:rsid w:val="009E1B16"/>
    <w:rsid w:val="009E1B96"/>
    <w:rsid w:val="009E1C25"/>
    <w:rsid w:val="009E22F5"/>
    <w:rsid w:val="009E2FBD"/>
    <w:rsid w:val="009E324E"/>
    <w:rsid w:val="009E3726"/>
    <w:rsid w:val="009E4815"/>
    <w:rsid w:val="009E4D12"/>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36FC"/>
    <w:rsid w:val="00A04DA0"/>
    <w:rsid w:val="00A057A1"/>
    <w:rsid w:val="00A064D4"/>
    <w:rsid w:val="00A0675C"/>
    <w:rsid w:val="00A067B9"/>
    <w:rsid w:val="00A06DCC"/>
    <w:rsid w:val="00A0734D"/>
    <w:rsid w:val="00A10509"/>
    <w:rsid w:val="00A117A4"/>
    <w:rsid w:val="00A11D31"/>
    <w:rsid w:val="00A12EB0"/>
    <w:rsid w:val="00A13092"/>
    <w:rsid w:val="00A14626"/>
    <w:rsid w:val="00A14B78"/>
    <w:rsid w:val="00A153D8"/>
    <w:rsid w:val="00A1540D"/>
    <w:rsid w:val="00A15924"/>
    <w:rsid w:val="00A167B8"/>
    <w:rsid w:val="00A16EB3"/>
    <w:rsid w:val="00A1746D"/>
    <w:rsid w:val="00A17837"/>
    <w:rsid w:val="00A17C9C"/>
    <w:rsid w:val="00A201A6"/>
    <w:rsid w:val="00A20D1E"/>
    <w:rsid w:val="00A212E4"/>
    <w:rsid w:val="00A21330"/>
    <w:rsid w:val="00A2156F"/>
    <w:rsid w:val="00A22D2A"/>
    <w:rsid w:val="00A22D6F"/>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322"/>
    <w:rsid w:val="00A44C24"/>
    <w:rsid w:val="00A44DF8"/>
    <w:rsid w:val="00A45680"/>
    <w:rsid w:val="00A50643"/>
    <w:rsid w:val="00A510DC"/>
    <w:rsid w:val="00A517DF"/>
    <w:rsid w:val="00A51B40"/>
    <w:rsid w:val="00A51CFB"/>
    <w:rsid w:val="00A52C23"/>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53F2"/>
    <w:rsid w:val="00A75FD4"/>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EBB"/>
    <w:rsid w:val="00AB07E4"/>
    <w:rsid w:val="00AB1D6D"/>
    <w:rsid w:val="00AB1E43"/>
    <w:rsid w:val="00AB1FD7"/>
    <w:rsid w:val="00AB2EC3"/>
    <w:rsid w:val="00AB4114"/>
    <w:rsid w:val="00AB6184"/>
    <w:rsid w:val="00AB65D5"/>
    <w:rsid w:val="00AB67BD"/>
    <w:rsid w:val="00AB7CBA"/>
    <w:rsid w:val="00AC0320"/>
    <w:rsid w:val="00AC1471"/>
    <w:rsid w:val="00AC2763"/>
    <w:rsid w:val="00AC2B19"/>
    <w:rsid w:val="00AC2C11"/>
    <w:rsid w:val="00AC322B"/>
    <w:rsid w:val="00AC32E6"/>
    <w:rsid w:val="00AC3610"/>
    <w:rsid w:val="00AC3F5C"/>
    <w:rsid w:val="00AC4904"/>
    <w:rsid w:val="00AC4FF8"/>
    <w:rsid w:val="00AC5BA2"/>
    <w:rsid w:val="00AC5C23"/>
    <w:rsid w:val="00AC6632"/>
    <w:rsid w:val="00AC7A76"/>
    <w:rsid w:val="00AD00D5"/>
    <w:rsid w:val="00AD0131"/>
    <w:rsid w:val="00AD0CC7"/>
    <w:rsid w:val="00AD164D"/>
    <w:rsid w:val="00AD1900"/>
    <w:rsid w:val="00AD1F41"/>
    <w:rsid w:val="00AD286E"/>
    <w:rsid w:val="00AD4BF8"/>
    <w:rsid w:val="00AD5B74"/>
    <w:rsid w:val="00AE1665"/>
    <w:rsid w:val="00AE1B98"/>
    <w:rsid w:val="00AE2EE5"/>
    <w:rsid w:val="00AE3042"/>
    <w:rsid w:val="00AE3AA3"/>
    <w:rsid w:val="00AE3BDD"/>
    <w:rsid w:val="00AE4394"/>
    <w:rsid w:val="00AE4486"/>
    <w:rsid w:val="00AE4E0D"/>
    <w:rsid w:val="00AE5A87"/>
    <w:rsid w:val="00AE6669"/>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3DC2"/>
    <w:rsid w:val="00B03EB0"/>
    <w:rsid w:val="00B03F40"/>
    <w:rsid w:val="00B04756"/>
    <w:rsid w:val="00B051F5"/>
    <w:rsid w:val="00B058A5"/>
    <w:rsid w:val="00B063D2"/>
    <w:rsid w:val="00B0666D"/>
    <w:rsid w:val="00B06DFB"/>
    <w:rsid w:val="00B0789E"/>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35EC"/>
    <w:rsid w:val="00B90335"/>
    <w:rsid w:val="00B903B2"/>
    <w:rsid w:val="00B9048E"/>
    <w:rsid w:val="00B90DD5"/>
    <w:rsid w:val="00B91F6D"/>
    <w:rsid w:val="00B92519"/>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6435"/>
    <w:rsid w:val="00BA6B06"/>
    <w:rsid w:val="00BA6BC3"/>
    <w:rsid w:val="00BA7837"/>
    <w:rsid w:val="00BB06AD"/>
    <w:rsid w:val="00BB0C69"/>
    <w:rsid w:val="00BB1934"/>
    <w:rsid w:val="00BB200E"/>
    <w:rsid w:val="00BB2697"/>
    <w:rsid w:val="00BB2784"/>
    <w:rsid w:val="00BB2B28"/>
    <w:rsid w:val="00BB2FE2"/>
    <w:rsid w:val="00BB3308"/>
    <w:rsid w:val="00BB3C99"/>
    <w:rsid w:val="00BB40D2"/>
    <w:rsid w:val="00BB431F"/>
    <w:rsid w:val="00BB476E"/>
    <w:rsid w:val="00BB4E89"/>
    <w:rsid w:val="00BB52F4"/>
    <w:rsid w:val="00BB5F09"/>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E1F"/>
    <w:rsid w:val="00BF10BB"/>
    <w:rsid w:val="00BF1778"/>
    <w:rsid w:val="00BF1B20"/>
    <w:rsid w:val="00BF28BA"/>
    <w:rsid w:val="00BF31F9"/>
    <w:rsid w:val="00BF3EB9"/>
    <w:rsid w:val="00BF46F9"/>
    <w:rsid w:val="00C00379"/>
    <w:rsid w:val="00C0131A"/>
    <w:rsid w:val="00C03751"/>
    <w:rsid w:val="00C0390C"/>
    <w:rsid w:val="00C05500"/>
    <w:rsid w:val="00C1030E"/>
    <w:rsid w:val="00C10F3E"/>
    <w:rsid w:val="00C111FF"/>
    <w:rsid w:val="00C1125E"/>
    <w:rsid w:val="00C11514"/>
    <w:rsid w:val="00C11FF8"/>
    <w:rsid w:val="00C12470"/>
    <w:rsid w:val="00C12A47"/>
    <w:rsid w:val="00C134D6"/>
    <w:rsid w:val="00C13BA7"/>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51"/>
    <w:rsid w:val="00C504A4"/>
    <w:rsid w:val="00C51665"/>
    <w:rsid w:val="00C56298"/>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7E6"/>
    <w:rsid w:val="00C81757"/>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919"/>
    <w:rsid w:val="00C97B81"/>
    <w:rsid w:val="00CA05A1"/>
    <w:rsid w:val="00CA0AFE"/>
    <w:rsid w:val="00CA0C2D"/>
    <w:rsid w:val="00CA1212"/>
    <w:rsid w:val="00CA1790"/>
    <w:rsid w:val="00CA1A39"/>
    <w:rsid w:val="00CA2189"/>
    <w:rsid w:val="00CA3168"/>
    <w:rsid w:val="00CA3EFF"/>
    <w:rsid w:val="00CA47C9"/>
    <w:rsid w:val="00CA4817"/>
    <w:rsid w:val="00CA4BDF"/>
    <w:rsid w:val="00CA501B"/>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648F"/>
    <w:rsid w:val="00CF0331"/>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531F"/>
    <w:rsid w:val="00D156BC"/>
    <w:rsid w:val="00D15A02"/>
    <w:rsid w:val="00D15EF9"/>
    <w:rsid w:val="00D15F6C"/>
    <w:rsid w:val="00D16ADE"/>
    <w:rsid w:val="00D170DB"/>
    <w:rsid w:val="00D17D84"/>
    <w:rsid w:val="00D210F3"/>
    <w:rsid w:val="00D2126A"/>
    <w:rsid w:val="00D215B5"/>
    <w:rsid w:val="00D22E09"/>
    <w:rsid w:val="00D23535"/>
    <w:rsid w:val="00D23F6C"/>
    <w:rsid w:val="00D2432C"/>
    <w:rsid w:val="00D249EF"/>
    <w:rsid w:val="00D2513D"/>
    <w:rsid w:val="00D2558C"/>
    <w:rsid w:val="00D260EC"/>
    <w:rsid w:val="00D26B63"/>
    <w:rsid w:val="00D270A0"/>
    <w:rsid w:val="00D276A2"/>
    <w:rsid w:val="00D27A6A"/>
    <w:rsid w:val="00D27C53"/>
    <w:rsid w:val="00D27F26"/>
    <w:rsid w:val="00D30F80"/>
    <w:rsid w:val="00D313DA"/>
    <w:rsid w:val="00D330A2"/>
    <w:rsid w:val="00D353F1"/>
    <w:rsid w:val="00D35CF2"/>
    <w:rsid w:val="00D35D33"/>
    <w:rsid w:val="00D36653"/>
    <w:rsid w:val="00D379BD"/>
    <w:rsid w:val="00D37CBC"/>
    <w:rsid w:val="00D4190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60C80"/>
    <w:rsid w:val="00D61C91"/>
    <w:rsid w:val="00D6210B"/>
    <w:rsid w:val="00D63FF7"/>
    <w:rsid w:val="00D64501"/>
    <w:rsid w:val="00D6451F"/>
    <w:rsid w:val="00D6452C"/>
    <w:rsid w:val="00D64799"/>
    <w:rsid w:val="00D65528"/>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18B0"/>
    <w:rsid w:val="00D81F42"/>
    <w:rsid w:val="00D82E44"/>
    <w:rsid w:val="00D832F4"/>
    <w:rsid w:val="00D83CD7"/>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37A9"/>
    <w:rsid w:val="00DA3B6E"/>
    <w:rsid w:val="00DA4207"/>
    <w:rsid w:val="00DA4E33"/>
    <w:rsid w:val="00DA5F26"/>
    <w:rsid w:val="00DA612C"/>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5A59"/>
    <w:rsid w:val="00DB65C4"/>
    <w:rsid w:val="00DB65F1"/>
    <w:rsid w:val="00DB684A"/>
    <w:rsid w:val="00DB7006"/>
    <w:rsid w:val="00DC0112"/>
    <w:rsid w:val="00DC1626"/>
    <w:rsid w:val="00DC2963"/>
    <w:rsid w:val="00DC3597"/>
    <w:rsid w:val="00DC4268"/>
    <w:rsid w:val="00DC4AE1"/>
    <w:rsid w:val="00DC4F1A"/>
    <w:rsid w:val="00DC5108"/>
    <w:rsid w:val="00DC5F97"/>
    <w:rsid w:val="00DD0151"/>
    <w:rsid w:val="00DD18E3"/>
    <w:rsid w:val="00DD19A4"/>
    <w:rsid w:val="00DD2954"/>
    <w:rsid w:val="00DD2FFC"/>
    <w:rsid w:val="00DD38A6"/>
    <w:rsid w:val="00DD3B44"/>
    <w:rsid w:val="00DD4315"/>
    <w:rsid w:val="00DD4466"/>
    <w:rsid w:val="00DD46EB"/>
    <w:rsid w:val="00DD4876"/>
    <w:rsid w:val="00DD5948"/>
    <w:rsid w:val="00DD70A6"/>
    <w:rsid w:val="00DD76D4"/>
    <w:rsid w:val="00DE0AC8"/>
    <w:rsid w:val="00DE0D12"/>
    <w:rsid w:val="00DE1FF3"/>
    <w:rsid w:val="00DE2088"/>
    <w:rsid w:val="00DE34EB"/>
    <w:rsid w:val="00DE375A"/>
    <w:rsid w:val="00DE3943"/>
    <w:rsid w:val="00DE446B"/>
    <w:rsid w:val="00DE45F5"/>
    <w:rsid w:val="00DE496B"/>
    <w:rsid w:val="00DE4AAB"/>
    <w:rsid w:val="00DE5068"/>
    <w:rsid w:val="00DE6173"/>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838"/>
    <w:rsid w:val="00E11BB3"/>
    <w:rsid w:val="00E128EC"/>
    <w:rsid w:val="00E1356E"/>
    <w:rsid w:val="00E137F0"/>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CA"/>
    <w:rsid w:val="00E3570F"/>
    <w:rsid w:val="00E3626D"/>
    <w:rsid w:val="00E363FE"/>
    <w:rsid w:val="00E404A4"/>
    <w:rsid w:val="00E40E3D"/>
    <w:rsid w:val="00E4362F"/>
    <w:rsid w:val="00E44535"/>
    <w:rsid w:val="00E458B4"/>
    <w:rsid w:val="00E45F13"/>
    <w:rsid w:val="00E46776"/>
    <w:rsid w:val="00E467AE"/>
    <w:rsid w:val="00E474B5"/>
    <w:rsid w:val="00E4767D"/>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5C5"/>
    <w:rsid w:val="00E625E8"/>
    <w:rsid w:val="00E62AFA"/>
    <w:rsid w:val="00E62D8D"/>
    <w:rsid w:val="00E63743"/>
    <w:rsid w:val="00E63C45"/>
    <w:rsid w:val="00E65646"/>
    <w:rsid w:val="00E65933"/>
    <w:rsid w:val="00E65E2A"/>
    <w:rsid w:val="00E6632E"/>
    <w:rsid w:val="00E665DF"/>
    <w:rsid w:val="00E66EE9"/>
    <w:rsid w:val="00E67186"/>
    <w:rsid w:val="00E67891"/>
    <w:rsid w:val="00E67D89"/>
    <w:rsid w:val="00E70657"/>
    <w:rsid w:val="00E70CEE"/>
    <w:rsid w:val="00E7163B"/>
    <w:rsid w:val="00E7200E"/>
    <w:rsid w:val="00E72B77"/>
    <w:rsid w:val="00E73DCF"/>
    <w:rsid w:val="00E747E0"/>
    <w:rsid w:val="00E748E3"/>
    <w:rsid w:val="00E752DD"/>
    <w:rsid w:val="00E760AB"/>
    <w:rsid w:val="00E77FBE"/>
    <w:rsid w:val="00E805BF"/>
    <w:rsid w:val="00E80680"/>
    <w:rsid w:val="00E81BEC"/>
    <w:rsid w:val="00E81FA1"/>
    <w:rsid w:val="00E84A97"/>
    <w:rsid w:val="00E84D92"/>
    <w:rsid w:val="00E869F5"/>
    <w:rsid w:val="00E86A3C"/>
    <w:rsid w:val="00E86DAD"/>
    <w:rsid w:val="00E917FE"/>
    <w:rsid w:val="00E922E2"/>
    <w:rsid w:val="00E93452"/>
    <w:rsid w:val="00E93B6F"/>
    <w:rsid w:val="00E94782"/>
    <w:rsid w:val="00E95E40"/>
    <w:rsid w:val="00E95FA0"/>
    <w:rsid w:val="00E9641E"/>
    <w:rsid w:val="00E96730"/>
    <w:rsid w:val="00E96867"/>
    <w:rsid w:val="00E96E34"/>
    <w:rsid w:val="00E973C5"/>
    <w:rsid w:val="00E973CE"/>
    <w:rsid w:val="00E9755D"/>
    <w:rsid w:val="00E97D3D"/>
    <w:rsid w:val="00EA190D"/>
    <w:rsid w:val="00EA1AEF"/>
    <w:rsid w:val="00EA2243"/>
    <w:rsid w:val="00EA2343"/>
    <w:rsid w:val="00EA2619"/>
    <w:rsid w:val="00EA2C7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ECF"/>
    <w:rsid w:val="00EC42AA"/>
    <w:rsid w:val="00EC528C"/>
    <w:rsid w:val="00EC53F8"/>
    <w:rsid w:val="00EC57D7"/>
    <w:rsid w:val="00EC5BC7"/>
    <w:rsid w:val="00EC5CE4"/>
    <w:rsid w:val="00EC628C"/>
    <w:rsid w:val="00EC6E53"/>
    <w:rsid w:val="00EC6F13"/>
    <w:rsid w:val="00EC73CA"/>
    <w:rsid w:val="00EC79A8"/>
    <w:rsid w:val="00ED0BF6"/>
    <w:rsid w:val="00ED0D1F"/>
    <w:rsid w:val="00ED1356"/>
    <w:rsid w:val="00ED198A"/>
    <w:rsid w:val="00ED445B"/>
    <w:rsid w:val="00ED4CAF"/>
    <w:rsid w:val="00ED4F6E"/>
    <w:rsid w:val="00ED4FEA"/>
    <w:rsid w:val="00ED7696"/>
    <w:rsid w:val="00ED79A6"/>
    <w:rsid w:val="00ED7FB1"/>
    <w:rsid w:val="00EE101C"/>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106E"/>
    <w:rsid w:val="00F21238"/>
    <w:rsid w:val="00F215A6"/>
    <w:rsid w:val="00F21F75"/>
    <w:rsid w:val="00F220D0"/>
    <w:rsid w:val="00F221F6"/>
    <w:rsid w:val="00F22847"/>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FE8"/>
    <w:rsid w:val="00F3485D"/>
    <w:rsid w:val="00F34D70"/>
    <w:rsid w:val="00F35C04"/>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D15"/>
    <w:rsid w:val="00F54F31"/>
    <w:rsid w:val="00F55B4C"/>
    <w:rsid w:val="00F56762"/>
    <w:rsid w:val="00F568AA"/>
    <w:rsid w:val="00F56FF8"/>
    <w:rsid w:val="00F571DE"/>
    <w:rsid w:val="00F605A5"/>
    <w:rsid w:val="00F608F2"/>
    <w:rsid w:val="00F61186"/>
    <w:rsid w:val="00F6180C"/>
    <w:rsid w:val="00F6184C"/>
    <w:rsid w:val="00F61D1F"/>
    <w:rsid w:val="00F6210D"/>
    <w:rsid w:val="00F62934"/>
    <w:rsid w:val="00F635BA"/>
    <w:rsid w:val="00F64065"/>
    <w:rsid w:val="00F645C9"/>
    <w:rsid w:val="00F64888"/>
    <w:rsid w:val="00F64BF4"/>
    <w:rsid w:val="00F64ED3"/>
    <w:rsid w:val="00F65C42"/>
    <w:rsid w:val="00F66471"/>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1291"/>
    <w:rsid w:val="00F82213"/>
    <w:rsid w:val="00F82359"/>
    <w:rsid w:val="00F84817"/>
    <w:rsid w:val="00F84E55"/>
    <w:rsid w:val="00F85EDC"/>
    <w:rsid w:val="00F86E1E"/>
    <w:rsid w:val="00F87022"/>
    <w:rsid w:val="00F87A03"/>
    <w:rsid w:val="00F87CA1"/>
    <w:rsid w:val="00F9078F"/>
    <w:rsid w:val="00F90C8A"/>
    <w:rsid w:val="00F916BE"/>
    <w:rsid w:val="00F91875"/>
    <w:rsid w:val="00F92C39"/>
    <w:rsid w:val="00F9384E"/>
    <w:rsid w:val="00F93AB9"/>
    <w:rsid w:val="00F954D1"/>
    <w:rsid w:val="00F965C0"/>
    <w:rsid w:val="00F96BA2"/>
    <w:rsid w:val="00F96E93"/>
    <w:rsid w:val="00F971AC"/>
    <w:rsid w:val="00F976A8"/>
    <w:rsid w:val="00FA0B45"/>
    <w:rsid w:val="00FA0C06"/>
    <w:rsid w:val="00FA0C9F"/>
    <w:rsid w:val="00FA12E8"/>
    <w:rsid w:val="00FA26BF"/>
    <w:rsid w:val="00FA29E4"/>
    <w:rsid w:val="00FA56A5"/>
    <w:rsid w:val="00FA585E"/>
    <w:rsid w:val="00FA58D7"/>
    <w:rsid w:val="00FA66A6"/>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7EE"/>
    <w:rsid w:val="00FB746D"/>
    <w:rsid w:val="00FC061C"/>
    <w:rsid w:val="00FC078F"/>
    <w:rsid w:val="00FC149E"/>
    <w:rsid w:val="00FC1908"/>
    <w:rsid w:val="00FC22E3"/>
    <w:rsid w:val="00FC36F6"/>
    <w:rsid w:val="00FC5265"/>
    <w:rsid w:val="00FC5594"/>
    <w:rsid w:val="00FC5DC5"/>
    <w:rsid w:val="00FC7CAA"/>
    <w:rsid w:val="00FD03F0"/>
    <w:rsid w:val="00FD0A4A"/>
    <w:rsid w:val="00FD0AA5"/>
    <w:rsid w:val="00FD0C33"/>
    <w:rsid w:val="00FD1252"/>
    <w:rsid w:val="00FD1579"/>
    <w:rsid w:val="00FD1724"/>
    <w:rsid w:val="00FD23BD"/>
    <w:rsid w:val="00FD35F3"/>
    <w:rsid w:val="00FD3911"/>
    <w:rsid w:val="00FD3AEF"/>
    <w:rsid w:val="00FD3FBC"/>
    <w:rsid w:val="00FD4201"/>
    <w:rsid w:val="00FD52DA"/>
    <w:rsid w:val="00FD5B5D"/>
    <w:rsid w:val="00FD5C61"/>
    <w:rsid w:val="00FD6B52"/>
    <w:rsid w:val="00FD6CDC"/>
    <w:rsid w:val="00FD6DC1"/>
    <w:rsid w:val="00FD7A01"/>
    <w:rsid w:val="00FE0150"/>
    <w:rsid w:val="00FE0EAC"/>
    <w:rsid w:val="00FE0ED8"/>
    <w:rsid w:val="00FE0F4C"/>
    <w:rsid w:val="00FE1C57"/>
    <w:rsid w:val="00FE291F"/>
    <w:rsid w:val="00FE2F30"/>
    <w:rsid w:val="00FE3F47"/>
    <w:rsid w:val="00FE4A2A"/>
    <w:rsid w:val="00FE565D"/>
    <w:rsid w:val="00FE5E77"/>
    <w:rsid w:val="00FE641E"/>
    <w:rsid w:val="00FE65B6"/>
    <w:rsid w:val="00FE6C2F"/>
    <w:rsid w:val="00FE727C"/>
    <w:rsid w:val="00FE798C"/>
    <w:rsid w:val="00FE7AC6"/>
    <w:rsid w:val="00FE7C97"/>
    <w:rsid w:val="00FF071E"/>
    <w:rsid w:val="00FF1944"/>
    <w:rsid w:val="00FF1A4C"/>
    <w:rsid w:val="00FF24B6"/>
    <w:rsid w:val="00FF3323"/>
    <w:rsid w:val="00FF4626"/>
    <w:rsid w:val="00FF4EB8"/>
    <w:rsid w:val="00FF515A"/>
    <w:rsid w:val="00FF5A30"/>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5099"/>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5099"/>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image" Target="media/image8.jpg"/><Relationship Id="rId39" Type="http://schemas.openxmlformats.org/officeDocument/2006/relationships/hyperlink" Target="https://www.nature.com/articles/d41586-021-00883-6" TargetMode="External"/><Relationship Id="rId21" Type="http://schemas.openxmlformats.org/officeDocument/2006/relationships/hyperlink" Target="https://psychologie.uqam.ca/wp-content/uploads/sites/73/2021/01/Prd_-final-adopte%CC%81-copie.pdf" TargetMode="External"/><Relationship Id="rId34" Type="http://schemas.openxmlformats.org/officeDocument/2006/relationships/hyperlink" Target="https://psyarxiv.com/" TargetMode="External"/><Relationship Id="rId42" Type="http://schemas.openxmlformats.org/officeDocument/2006/relationships/hyperlink" Target="https://frq.gouv.qc.ca/revues_predatrices/" TargetMode="External"/><Relationship Id="rId47" Type="http://schemas.openxmlformats.org/officeDocument/2006/relationships/hyperlink" Target="https://psysciacc.org/" TargetMode="External"/><Relationship Id="rId50" Type="http://schemas.openxmlformats.org/officeDocument/2006/relationships/hyperlink" Target="http://statcheck.io/" TargetMode="External"/><Relationship Id="rId55" Type="http://schemas.openxmlformats.org/officeDocument/2006/relationships/hyperlink" Target="https://doi.org/10.1177/1745691612459059" TargetMode="External"/><Relationship Id="rId63" Type="http://schemas.openxmlformats.org/officeDocument/2006/relationships/hyperlink" Target="https://doi.org/10.1080/02763869.2020.1704597" TargetMode="External"/><Relationship Id="rId68" Type="http://schemas.openxmlformats.org/officeDocument/2006/relationships/hyperlink" Target="https://doi.org/10.1027/1864-9335/a000192" TargetMode="External"/><Relationship Id="rId76" Type="http://schemas.openxmlformats.org/officeDocument/2006/relationships/hyperlink" Target="https://doi.org/10.1371/journal.pcbi.1010139"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osf.io/2jt9u"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rempsyc.remi-theriault.com/articles/table" TargetMode="External"/><Relationship Id="rId11" Type="http://schemas.openxmlformats.org/officeDocument/2006/relationships/image" Target="media/image2.png"/><Relationship Id="rId24"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2" Type="http://schemas.openxmlformats.org/officeDocument/2006/relationships/hyperlink" Target="https://www.apa.org/topics/research/data-science" TargetMode="External"/><Relationship Id="rId37" Type="http://schemas.openxmlformats.org/officeDocument/2006/relationships/hyperlink" Target="https://help.osf.io/article/230-preprint-faqs" TargetMode="External"/><Relationship Id="rId40" Type="http://schemas.openxmlformats.org/officeDocument/2006/relationships/hyperlink" Target="https://oaaustralasia.org/2021/05/25/what-are-the-different-types-of-open-access/" TargetMode="External"/><Relationship Id="rId45" Type="http://schemas.openxmlformats.org/officeDocument/2006/relationships/hyperlink" Target="https://uqam-ca.libguides.com/editeurs-predateurs/" TargetMode="External"/><Relationship Id="rId53" Type="http://schemas.openxmlformats.org/officeDocument/2006/relationships/hyperlink" Target="https://osf.io/v7ndz" TargetMode="External"/><Relationship Id="rId58" Type="http://schemas.openxmlformats.org/officeDocument/2006/relationships/hyperlink" Target="https://doi.org/10.1162/qss_a_00043" TargetMode="External"/><Relationship Id="rId66" Type="http://schemas.openxmlformats.org/officeDocument/2006/relationships/hyperlink" Target="https://doi.org/10.1177/2515245917747656" TargetMode="External"/><Relationship Id="rId74" Type="http://schemas.openxmlformats.org/officeDocument/2006/relationships/hyperlink" Target="https://doi.org/10.1080/09515089.2022.2113771" TargetMode="External"/><Relationship Id="rId79" Type="http://schemas.openxmlformats.org/officeDocument/2006/relationships/hyperlink" Target="https://doi.org/10.1177/1745691612463078" TargetMode="External"/><Relationship Id="rId5" Type="http://schemas.openxmlformats.org/officeDocument/2006/relationships/webSettings" Target="webSettings.xml"/><Relationship Id="rId61" Type="http://schemas.openxmlformats.org/officeDocument/2006/relationships/hyperlink" Target="https://doi.org/doi:10.1098/rsos.220099" TargetMode="External"/><Relationship Id="rId82" Type="http://schemas.openxmlformats.org/officeDocument/2006/relationships/header" Target="header1.xml"/><Relationship Id="rId10" Type="http://schemas.openxmlformats.org/officeDocument/2006/relationships/hyperlink" Target="https://vusci.blog/2020/04/17/reproducibilitea-blends-and-flavors/" TargetMode="External"/><Relationship Id="rId19" Type="http://schemas.openxmlformats.org/officeDocument/2006/relationships/hyperlink" Target="https://arstechnica.com/science/2019/02/the-replication-crisis-may-also-be-a-theory-crisis/" TargetMode="External"/><Relationship Id="rId31" Type="http://schemas.openxmlformats.org/officeDocument/2006/relationships/hyperlink" Target="https://datahowler.wordpress.com/2016/09/10/no-more-excuses-r-is-better-than-spss-for-psychology-undergrads-and-students-agree/" TargetMode="External"/><Relationship Id="rId44" Type="http://schemas.openxmlformats.org/officeDocument/2006/relationships/hyperlink" Target="https://frq.gouv.qc.ca/revues_predatrices/" TargetMode="External"/><Relationship Id="rId52" Type="http://schemas.openxmlformats.org/officeDocument/2006/relationships/hyperlink" Target="https://doi.org/10.1038/s41562-018-0399-z" TargetMode="External"/><Relationship Id="rId60"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65" Type="http://schemas.openxmlformats.org/officeDocument/2006/relationships/hyperlink" Target="https://doi.org/10.1371/journal.pone.0253129" TargetMode="External"/><Relationship Id="rId73" Type="http://schemas.openxmlformats.org/officeDocument/2006/relationships/hyperlink" Target="https://doi.org/10.20982/tqmp.16.4.p376" TargetMode="External"/><Relationship Id="rId78" Type="http://schemas.openxmlformats.org/officeDocument/2006/relationships/hyperlink" Target="https://doi.org/10.1001/jama.2017.21168" TargetMode="External"/><Relationship Id="rId81" Type="http://schemas.openxmlformats.org/officeDocument/2006/relationships/hyperlink" Target="https://doi.org/10.1037/teo0000137"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osf.io/" TargetMode="External"/><Relationship Id="rId27" Type="http://schemas.openxmlformats.org/officeDocument/2006/relationships/image" Target="media/image9.jpg"/><Relationship Id="rId30" Type="http://schemas.openxmlformats.org/officeDocument/2006/relationships/hyperlink" Target="http://statcheck.io/" TargetMode="External"/><Relationship Id="rId35" Type="http://schemas.openxmlformats.org/officeDocument/2006/relationships/hyperlink" Target="https://twitter.com/syeducation/status/1452724624651866119" TargetMode="External"/><Relationship Id="rId43" Type="http://schemas.openxmlformats.org/officeDocument/2006/relationships/hyperlink" Target="https://uqam-ca.libguides.com/editeurs-predateurs/" TargetMode="External"/><Relationship Id="rId48" Type="http://schemas.openxmlformats.org/officeDocument/2006/relationships/hyperlink" Target="https://osf.io/2jt9u/" TargetMode="External"/><Relationship Id="rId56" Type="http://schemas.openxmlformats.org/officeDocument/2006/relationships/hyperlink" Target="https://doi.org/10.1177/1745691612462587" TargetMode="External"/><Relationship Id="rId64" Type="http://schemas.openxmlformats.org/officeDocument/2006/relationships/hyperlink" Target="https://doi.org/10.1371/journal.pmed.0020124" TargetMode="External"/><Relationship Id="rId69" Type="http://schemas.openxmlformats.org/officeDocument/2006/relationships/hyperlink" Target="https://doi.org/10.3758/s13428-015-0664-2" TargetMode="External"/><Relationship Id="rId77" Type="http://schemas.openxmlformats.org/officeDocument/2006/relationships/hyperlink" Target="https://behavioralscientist.org/psychologys-increased-rigor-is-good-news-but-is-it-only-good-news/" TargetMode="External"/><Relationship Id="rId8" Type="http://schemas.openxmlformats.org/officeDocument/2006/relationships/image" Target="media/image1.png"/><Relationship Id="rId51" Type="http://schemas.openxmlformats.org/officeDocument/2006/relationships/hyperlink" Target="https://www.uoguelph.ca/psychology/graduate/thesis-statistics" TargetMode="External"/><Relationship Id="rId72" Type="http://schemas.openxmlformats.org/officeDocument/2006/relationships/hyperlink" Target="https://www.R-project.org/" TargetMode="External"/><Relationship Id="rId80" Type="http://schemas.openxmlformats.org/officeDocument/2006/relationships/hyperlink" Target="https://doi.org/10.3389/fpsyg.2016.01832"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hyperlink" Target="https://osf.io/" TargetMode="External"/><Relationship Id="rId33" Type="http://schemas.openxmlformats.org/officeDocument/2006/relationships/image" Target="media/image10.jpg"/><Relationship Id="rId38" Type="http://schemas.openxmlformats.org/officeDocument/2006/relationships/hyperlink" Target="https://frq.gouv.qc.ca/science-ouverte/" TargetMode="External"/><Relationship Id="rId46" Type="http://schemas.openxmlformats.org/officeDocument/2006/relationships/hyperlink" Target="https://osf.io/" TargetMode="External"/><Relationship Id="rId59" Type="http://schemas.openxmlformats.org/officeDocument/2006/relationships/hyperlink" Target="https://doi.org/10.7554/eLife.52646" TargetMode="External"/><Relationship Id="rId67" Type="http://schemas.openxmlformats.org/officeDocument/2006/relationships/hyperlink" Target="https://doi.org/doi:10.1073/pnas.1708274114"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www.coalition-s.org/action-plan-for-diamond-open-access/" TargetMode="External"/><Relationship Id="rId54" Type="http://schemas.openxmlformats.org/officeDocument/2006/relationships/hyperlink" Target="https://psychologie.uqam.ca/wp-content/uploads/sites/73/2021/01/Prd_-final-adopte%CC%81-copie.pdf" TargetMode="External"/><Relationship Id="rId62" Type="http://schemas.openxmlformats.org/officeDocument/2006/relationships/hyperlink" Target="https://doi.org/10.1007/s11192-019-03301-x" TargetMode="External"/><Relationship Id="rId70" Type="http://schemas.openxmlformats.org/officeDocument/2006/relationships/hyperlink" Target="https://doi.org/doi:10.1126/science.aac4716" TargetMode="External"/><Relationship Id="rId75" Type="http://schemas.openxmlformats.org/officeDocument/2006/relationships/hyperlink" Target="https://doi.org/10.1038/533147a"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g"/><Relationship Id="rId28" Type="http://schemas.openxmlformats.org/officeDocument/2006/relationships/hyperlink" Target="https://easystats.github.io/report/index.html" TargetMode="External"/><Relationship Id="rId36" Type="http://schemas.openxmlformats.org/officeDocument/2006/relationships/hyperlink" Target="https://help.osf.io/article/230-preprint-faqs" TargetMode="External"/><Relationship Id="rId49" Type="http://schemas.openxmlformats.org/officeDocument/2006/relationships/hyperlink" Target="https://www.uoguelph.ca/psychology/graduate/thesis-statistics" TargetMode="External"/><Relationship Id="rId57" Type="http://schemas.openxmlformats.org/officeDocument/2006/relationships/hyperlink" Target="https://frq.gouv.qc.ca/app/uploads/2022/06/politique-libre-acces-revisee_v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12307</Words>
  <Characters>70154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Rémi Thériault</cp:lastModifiedBy>
  <cp:revision>5</cp:revision>
  <cp:lastPrinted>2023-04-18T22:52:00Z</cp:lastPrinted>
  <dcterms:created xsi:type="dcterms:W3CDTF">2023-04-18T22:52:00Z</dcterms:created>
  <dcterms:modified xsi:type="dcterms:W3CDTF">2023-04-18T22:54:00Z</dcterms:modified>
</cp:coreProperties>
</file>