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9989" w14:textId="77777777" w:rsidR="00D11777" w:rsidRDefault="00D11777">
      <w:pPr>
        <w:pStyle w:val="1"/>
        <w:bidi/>
        <w:spacing w:line="276" w:lineRule="auto"/>
        <w:rPr>
          <w:rFonts w:eastAsia="Times New Roman"/>
          <w:lang w:bidi="ar"/>
        </w:rPr>
      </w:pPr>
      <w:r>
        <w:rPr>
          <w:rFonts w:eastAsia="Times New Roman"/>
          <w:rtl/>
          <w:lang w:bidi="ar"/>
        </w:rPr>
        <w:t>الفصل الأول: المقدمة العامة</w:t>
      </w:r>
    </w:p>
    <w:p w14:paraId="2128EFCB" w14:textId="77777777" w:rsidR="00D11777" w:rsidRDefault="00D11777">
      <w:pPr>
        <w:pStyle w:val="2"/>
        <w:bidi/>
        <w:spacing w:line="276" w:lineRule="auto"/>
        <w:jc w:val="both"/>
        <w:rPr>
          <w:rFonts w:eastAsia="Times New Roman"/>
          <w:rtl/>
          <w:lang w:bidi="ar"/>
        </w:rPr>
      </w:pPr>
      <w:r>
        <w:rPr>
          <w:rFonts w:eastAsia="Times New Roman"/>
          <w:rtl/>
          <w:lang w:bidi="ar"/>
        </w:rPr>
        <w:t>1-1 نظرة عامة على المشروع وخلفيته</w:t>
      </w:r>
    </w:p>
    <w:p w14:paraId="3A83FC1D"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تُعدّ صناعة المنظفات والمواد الكيميائية من القطاعات الإنتاجية الواسعة الانتشار، ويقوم جزء كبير منها على معامل صغيرة ومتوسطة تُنتج منتجاتها بخلط مواد خام وفق تركيبات محددة (</w:t>
      </w:r>
      <w:r>
        <w:rPr>
          <w:rFonts w:ascii="Simplified Arabic" w:hAnsi="Simplified Arabic" w:cs="Simplified Arabic"/>
          <w:sz w:val="26"/>
          <w:szCs w:val="26"/>
          <w:lang w:bidi="ar"/>
        </w:rPr>
        <w:t>Formulas</w:t>
      </w:r>
      <w:r>
        <w:rPr>
          <w:rFonts w:ascii="Simplified Arabic" w:hAnsi="Simplified Arabic" w:cs="Simplified Arabic"/>
          <w:sz w:val="26"/>
          <w:szCs w:val="26"/>
          <w:rtl/>
          <w:lang w:bidi="ar"/>
        </w:rPr>
        <w:t>) تُعبَّر فيها كمية كل مكوّن بنسبة مئوية. ويتعامل العاملون في هذه المعامل يومياً مع مواد خطرة كالمُبيِّضات والأحماض والقلويات والأمونيا، وقد يؤدي خلط بعضها ببعض إلى تفاعلات تُطلق غازات سامة أو تسبب حرائق.</w:t>
      </w:r>
    </w:p>
    <w:p w14:paraId="746BB54E"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ولتنظيم التعامل مع هذه المواد، وضعت الأمم المتحدة النظام المنسَّق عالمياً لتصنيف المواد الكيميائية ووسمها (</w:t>
      </w:r>
      <w:r>
        <w:rPr>
          <w:rFonts w:ascii="Simplified Arabic" w:hAnsi="Simplified Arabic" w:cs="Simplified Arabic"/>
          <w:sz w:val="26"/>
          <w:szCs w:val="26"/>
          <w:lang w:bidi="ar"/>
        </w:rPr>
        <w:t>GHS</w:t>
      </w:r>
      <w:r>
        <w:rPr>
          <w:rFonts w:ascii="Simplified Arabic" w:hAnsi="Simplified Arabic" w:cs="Simplified Arabic"/>
          <w:sz w:val="26"/>
          <w:szCs w:val="26"/>
          <w:rtl/>
          <w:lang w:bidi="ar"/>
        </w:rPr>
        <w:t>)، كما تُرفق بكل مادة صحيفة بيانات السلامة (</w:t>
      </w:r>
      <w:r>
        <w:rPr>
          <w:rFonts w:ascii="Simplified Arabic" w:hAnsi="Simplified Arabic" w:cs="Simplified Arabic"/>
          <w:sz w:val="26"/>
          <w:szCs w:val="26"/>
          <w:lang w:bidi="ar"/>
        </w:rPr>
        <w:t>SDS</w:t>
      </w:r>
      <w:r>
        <w:rPr>
          <w:rFonts w:ascii="Simplified Arabic" w:hAnsi="Simplified Arabic" w:cs="Simplified Arabic"/>
          <w:sz w:val="26"/>
          <w:szCs w:val="26"/>
          <w:rtl/>
          <w:lang w:bidi="ar"/>
        </w:rPr>
        <w:t>). غير أن أنظمة تخطيط موارد المؤسسات (</w:t>
      </w:r>
      <w:r>
        <w:rPr>
          <w:rFonts w:ascii="Simplified Arabic" w:hAnsi="Simplified Arabic" w:cs="Simplified Arabic"/>
          <w:sz w:val="26"/>
          <w:szCs w:val="26"/>
          <w:lang w:bidi="ar"/>
        </w:rPr>
        <w:t>ERP</w:t>
      </w:r>
      <w:r>
        <w:rPr>
          <w:rFonts w:ascii="Simplified Arabic" w:hAnsi="Simplified Arabic" w:cs="Simplified Arabic"/>
          <w:sz w:val="26"/>
          <w:szCs w:val="26"/>
          <w:rtl/>
          <w:lang w:bidi="ar"/>
        </w:rPr>
        <w:t xml:space="preserve">) العامة لا تتضمن طبقة خاصة بالسلامة الكيميائية، والأنظمة المتخصصة مرتفعة الكلفة وموجّهة للمؤسسات الكبيرة، فما تزال كثير من المعامل الصغيرة تعتمد على السجلات الورقية وجداول </w:t>
      </w:r>
      <w:r>
        <w:rPr>
          <w:rFonts w:ascii="Simplified Arabic" w:hAnsi="Simplified Arabic" w:cs="Simplified Arabic"/>
          <w:sz w:val="26"/>
          <w:szCs w:val="26"/>
          <w:lang w:bidi="ar"/>
        </w:rPr>
        <w:t>Excel</w:t>
      </w:r>
      <w:r>
        <w:rPr>
          <w:rFonts w:ascii="Simplified Arabic" w:hAnsi="Simplified Arabic" w:cs="Simplified Arabic"/>
          <w:sz w:val="26"/>
          <w:szCs w:val="26"/>
          <w:rtl/>
          <w:lang w:bidi="ar"/>
        </w:rPr>
        <w:t xml:space="preserve"> وخبرة العاملين.</w:t>
      </w:r>
    </w:p>
    <w:p w14:paraId="63176A32"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 xml:space="preserve">ويقدّم هذا المشروع </w:t>
      </w:r>
      <w:r>
        <w:rPr>
          <w:rFonts w:ascii="Simplified Arabic" w:hAnsi="Simplified Arabic" w:cs="Simplified Arabic"/>
          <w:b/>
          <w:bCs/>
          <w:sz w:val="26"/>
          <w:szCs w:val="26"/>
          <w:rtl/>
          <w:lang w:bidi="ar"/>
        </w:rPr>
        <w:t>نظام إدارة الخلطات الكيميائية والسلامة</w:t>
      </w:r>
      <w:r>
        <w:rPr>
          <w:rFonts w:ascii="Simplified Arabic" w:hAnsi="Simplified Arabic" w:cs="Simplified Arabic"/>
          <w:sz w:val="26"/>
          <w:szCs w:val="26"/>
          <w:rtl/>
          <w:lang w:bidi="ar"/>
        </w:rPr>
        <w:t xml:space="preserve">، ويُعرف بالإنجليزية باسم </w:t>
      </w:r>
      <w:r>
        <w:rPr>
          <w:rStyle w:val="en1"/>
          <w:sz w:val="26"/>
          <w:szCs w:val="26"/>
          <w:lang w:bidi="ar"/>
        </w:rPr>
        <w:t>Chemical Formula and Safety ERP</w:t>
      </w:r>
      <w:r>
        <w:rPr>
          <w:rFonts w:ascii="Simplified Arabic" w:hAnsi="Simplified Arabic" w:cs="Simplified Arabic"/>
          <w:sz w:val="26"/>
          <w:szCs w:val="26"/>
          <w:rtl/>
          <w:lang w:bidi="ar"/>
        </w:rPr>
        <w:t>، وهو منصة ويب عربية تجمع تركيبات المنتجات والمخزون وبيانات السلامة في نظام واحد، وتتيح:</w:t>
      </w:r>
    </w:p>
    <w:p w14:paraId="1451D98E" w14:textId="77777777" w:rsidR="00D11777" w:rsidRDefault="00D11777">
      <w:pPr>
        <w:numPr>
          <w:ilvl w:val="0"/>
          <w:numId w:val="1"/>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إدارة المواد الكيميائية وجلب بيانات خطورتها (</w:t>
      </w:r>
      <w:r>
        <w:rPr>
          <w:rFonts w:ascii="Simplified Arabic" w:eastAsia="Times New Roman" w:hAnsi="Simplified Arabic" w:cs="Simplified Arabic"/>
          <w:sz w:val="26"/>
          <w:szCs w:val="26"/>
          <w:lang w:bidi="ar"/>
        </w:rPr>
        <w:t>GHS</w:t>
      </w:r>
      <w:r>
        <w:rPr>
          <w:rFonts w:ascii="Simplified Arabic" w:eastAsia="Times New Roman" w:hAnsi="Simplified Arabic" w:cs="Simplified Arabic"/>
          <w:sz w:val="26"/>
          <w:szCs w:val="26"/>
          <w:rtl/>
          <w:lang w:bidi="ar"/>
        </w:rPr>
        <w:t xml:space="preserve">) آلياً من قاعدة </w:t>
      </w:r>
      <w:r>
        <w:rPr>
          <w:rFonts w:ascii="Simplified Arabic" w:eastAsia="Times New Roman" w:hAnsi="Simplified Arabic" w:cs="Simplified Arabic"/>
          <w:sz w:val="26"/>
          <w:szCs w:val="26"/>
          <w:lang w:bidi="ar"/>
        </w:rPr>
        <w:t>PubChem</w:t>
      </w:r>
      <w:r>
        <w:rPr>
          <w:rFonts w:ascii="Simplified Arabic" w:eastAsia="Times New Roman" w:hAnsi="Simplified Arabic" w:cs="Simplified Arabic"/>
          <w:sz w:val="26"/>
          <w:szCs w:val="26"/>
          <w:rtl/>
          <w:lang w:bidi="ar"/>
        </w:rPr>
        <w:t xml:space="preserve"> برقم </w:t>
      </w:r>
      <w:r>
        <w:rPr>
          <w:rFonts w:ascii="Simplified Arabic" w:eastAsia="Times New Roman" w:hAnsi="Simplified Arabic" w:cs="Simplified Arabic"/>
          <w:sz w:val="26"/>
          <w:szCs w:val="26"/>
          <w:lang w:bidi="ar"/>
        </w:rPr>
        <w:t>CAS</w:t>
      </w:r>
      <w:r>
        <w:rPr>
          <w:rFonts w:ascii="Simplified Arabic" w:eastAsia="Times New Roman" w:hAnsi="Simplified Arabic" w:cs="Simplified Arabic"/>
          <w:sz w:val="26"/>
          <w:szCs w:val="26"/>
          <w:rtl/>
          <w:lang w:bidi="ar"/>
        </w:rPr>
        <w:t>.</w:t>
      </w:r>
    </w:p>
    <w:p w14:paraId="2313EAD0" w14:textId="77777777" w:rsidR="00D11777" w:rsidRDefault="00D11777">
      <w:pPr>
        <w:numPr>
          <w:ilvl w:val="0"/>
          <w:numId w:val="1"/>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إدارة التركيبات مع التحقق من مجموع النِّسب، وفحص التعارض الكيميائي بين المكوّنات قبل اعتمادها.</w:t>
      </w:r>
    </w:p>
    <w:p w14:paraId="4E23F951" w14:textId="77777777" w:rsidR="00D11777" w:rsidRDefault="00D11777">
      <w:pPr>
        <w:numPr>
          <w:ilvl w:val="0"/>
          <w:numId w:val="1"/>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إدارة المخزون على مستوى الدفعات، مع تنبيهات الصلاحية والكميات المنخفضة.</w:t>
      </w:r>
    </w:p>
    <w:p w14:paraId="55206467" w14:textId="77777777" w:rsidR="00D11777" w:rsidRDefault="00D11777">
      <w:pPr>
        <w:numPr>
          <w:ilvl w:val="0"/>
          <w:numId w:val="1"/>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 xml:space="preserve">تنفيذ أوامر الإنتاج وخصم الكميات آلياً وفق قاعدة </w:t>
      </w:r>
      <w:r>
        <w:rPr>
          <w:rFonts w:ascii="Simplified Arabic" w:eastAsia="Times New Roman" w:hAnsi="Simplified Arabic" w:cs="Simplified Arabic"/>
          <w:sz w:val="26"/>
          <w:szCs w:val="26"/>
          <w:lang w:bidi="ar"/>
        </w:rPr>
        <w:t>FEFO</w:t>
      </w:r>
      <w:r>
        <w:rPr>
          <w:rFonts w:ascii="Simplified Arabic" w:eastAsia="Times New Roman" w:hAnsi="Simplified Arabic" w:cs="Simplified Arabic"/>
          <w:sz w:val="26"/>
          <w:szCs w:val="26"/>
          <w:rtl/>
          <w:lang w:bidi="ar"/>
        </w:rPr>
        <w:t>، وإدارة دورة الشراء.</w:t>
      </w:r>
    </w:p>
    <w:p w14:paraId="56B8A44D" w14:textId="77777777" w:rsidR="00D11777" w:rsidRDefault="00D11777">
      <w:pPr>
        <w:numPr>
          <w:ilvl w:val="0"/>
          <w:numId w:val="1"/>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مساعد سلامة ذكي يستخدم نموذجاً لغوياً كبيراً (</w:t>
      </w:r>
      <w:r>
        <w:rPr>
          <w:rFonts w:ascii="Simplified Arabic" w:eastAsia="Times New Roman" w:hAnsi="Simplified Arabic" w:cs="Simplified Arabic"/>
          <w:sz w:val="26"/>
          <w:szCs w:val="26"/>
          <w:lang w:bidi="ar"/>
        </w:rPr>
        <w:t>LLM</w:t>
      </w:r>
      <w:r>
        <w:rPr>
          <w:rFonts w:ascii="Simplified Arabic" w:eastAsia="Times New Roman" w:hAnsi="Simplified Arabic" w:cs="Simplified Arabic"/>
          <w:sz w:val="26"/>
          <w:szCs w:val="26"/>
          <w:rtl/>
          <w:lang w:bidi="ar"/>
        </w:rPr>
        <w:t>) لتوليد ملخّص عربي مبسّط اعتماداً على البيانات الموثوقة فقط.</w:t>
      </w:r>
    </w:p>
    <w:p w14:paraId="0483F27F" w14:textId="77777777" w:rsidR="00D11777" w:rsidRDefault="00D11777">
      <w:pPr>
        <w:pStyle w:val="2"/>
        <w:bidi/>
        <w:spacing w:line="276" w:lineRule="auto"/>
        <w:jc w:val="both"/>
        <w:rPr>
          <w:rFonts w:eastAsia="Times New Roman"/>
          <w:rtl/>
          <w:lang w:bidi="ar"/>
        </w:rPr>
      </w:pPr>
      <w:r>
        <w:rPr>
          <w:rFonts w:eastAsia="Times New Roman"/>
          <w:rtl/>
          <w:lang w:bidi="ar"/>
        </w:rPr>
        <w:t>1-2 بيان المشكلة وأهميتها العملية والأكاديمية</w:t>
      </w:r>
    </w:p>
    <w:p w14:paraId="54FAA16A" w14:textId="77777777" w:rsidR="00D11777" w:rsidRDefault="00D11777">
      <w:pPr>
        <w:pStyle w:val="3"/>
        <w:bidi/>
        <w:spacing w:line="276" w:lineRule="auto"/>
        <w:jc w:val="both"/>
        <w:rPr>
          <w:rFonts w:eastAsia="Times New Roman"/>
          <w:rtl/>
          <w:lang w:bidi="ar"/>
        </w:rPr>
      </w:pPr>
      <w:r>
        <w:rPr>
          <w:rFonts w:eastAsia="Times New Roman"/>
          <w:rtl/>
          <w:lang w:bidi="ar"/>
        </w:rPr>
        <w:t>بيان المشكلة</w:t>
      </w:r>
    </w:p>
    <w:p w14:paraId="2E0F50F3" w14:textId="77777777" w:rsidR="00D11777" w:rsidRDefault="00D11777">
      <w:pPr>
        <w:numPr>
          <w:ilvl w:val="0"/>
          <w:numId w:val="2"/>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غياب الربط بين التركيبة وبيانات السلامة:</w:t>
      </w:r>
      <w:r>
        <w:rPr>
          <w:rFonts w:ascii="Simplified Arabic" w:eastAsia="Times New Roman" w:hAnsi="Simplified Arabic" w:cs="Simplified Arabic"/>
          <w:sz w:val="26"/>
          <w:szCs w:val="26"/>
          <w:rtl/>
          <w:lang w:bidi="ar"/>
        </w:rPr>
        <w:t xml:space="preserve"> لا يوجد ما ينبّه إذا احتوت تركيبة على مادتين متعارضتين، ويبقى الاعتماد على ذاكرة العامل.</w:t>
      </w:r>
    </w:p>
    <w:p w14:paraId="1CA15445" w14:textId="77777777" w:rsidR="00D11777" w:rsidRDefault="00D11777">
      <w:pPr>
        <w:numPr>
          <w:ilvl w:val="0"/>
          <w:numId w:val="2"/>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lastRenderedPageBreak/>
        <w:t>ضعف التحكم بالمخزون والصلاحية:</w:t>
      </w:r>
      <w:r>
        <w:rPr>
          <w:rFonts w:ascii="Simplified Arabic" w:eastAsia="Times New Roman" w:hAnsi="Simplified Arabic" w:cs="Simplified Arabic"/>
          <w:sz w:val="26"/>
          <w:szCs w:val="26"/>
          <w:rtl/>
          <w:lang w:bidi="ar"/>
        </w:rPr>
        <w:t xml:space="preserve"> لا تُتابَع الكميات وتواريخ الصلاحية على مستوى الدفعة، فتُستخدم أحياناً مواد منتهية، ولا يُعرف النقص إلا عند الإنتاج.</w:t>
      </w:r>
    </w:p>
    <w:p w14:paraId="742A944F" w14:textId="77777777" w:rsidR="00D11777" w:rsidRDefault="00D11777">
      <w:pPr>
        <w:numPr>
          <w:ilvl w:val="0"/>
          <w:numId w:val="2"/>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عدم ملاءمة الحلول المتاحة:</w:t>
      </w:r>
      <w:r>
        <w:rPr>
          <w:rFonts w:ascii="Simplified Arabic" w:eastAsia="Times New Roman" w:hAnsi="Simplified Arabic" w:cs="Simplified Arabic"/>
          <w:sz w:val="26"/>
          <w:szCs w:val="26"/>
          <w:rtl/>
          <w:lang w:bidi="ar"/>
        </w:rPr>
        <w:t xml:space="preserve"> الأنظمة العامة تفتقر إلى طبقة السلامة، والمتخصصة مرتفعة الكلفة، ولم نعثر بينها على نظام يدعم العربية.</w:t>
      </w:r>
    </w:p>
    <w:p w14:paraId="20889236" w14:textId="77777777" w:rsidR="00D11777" w:rsidRDefault="00D11777">
      <w:pPr>
        <w:pStyle w:val="3"/>
        <w:bidi/>
        <w:spacing w:line="276" w:lineRule="auto"/>
        <w:jc w:val="both"/>
        <w:rPr>
          <w:rFonts w:eastAsia="Times New Roman"/>
          <w:rtl/>
          <w:lang w:bidi="ar"/>
        </w:rPr>
      </w:pPr>
      <w:r>
        <w:rPr>
          <w:rFonts w:eastAsia="Times New Roman"/>
          <w:rtl/>
          <w:lang w:bidi="ar"/>
        </w:rPr>
        <w:t>الأهمية العملية</w:t>
      </w:r>
    </w:p>
    <w:p w14:paraId="325DF0AB"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أظهرت تحقيقات مجلس سلامة الكيماويات الأمريكي (</w:t>
      </w:r>
      <w:r>
        <w:rPr>
          <w:rFonts w:ascii="Simplified Arabic" w:hAnsi="Simplified Arabic" w:cs="Simplified Arabic"/>
          <w:sz w:val="26"/>
          <w:szCs w:val="26"/>
          <w:lang w:bidi="ar"/>
        </w:rPr>
        <w:t>CSB</w:t>
      </w:r>
      <w:r>
        <w:rPr>
          <w:rFonts w:ascii="Simplified Arabic" w:hAnsi="Simplified Arabic" w:cs="Simplified Arabic"/>
          <w:sz w:val="26"/>
          <w:szCs w:val="26"/>
          <w:rtl/>
          <w:lang w:bidi="ar"/>
        </w:rPr>
        <w:t xml:space="preserve">) أن حوادث خطيرة نشأت عن أخطاء بسيطة؛ ففي حادثة </w:t>
      </w:r>
      <w:r>
        <w:rPr>
          <w:rFonts w:ascii="Simplified Arabic" w:hAnsi="Simplified Arabic" w:cs="Simplified Arabic"/>
          <w:sz w:val="26"/>
          <w:szCs w:val="26"/>
          <w:lang w:bidi="ar"/>
        </w:rPr>
        <w:t>AB Specialty Silicones</w:t>
      </w:r>
      <w:r>
        <w:rPr>
          <w:rFonts w:ascii="Simplified Arabic" w:hAnsi="Simplified Arabic" w:cs="Simplified Arabic"/>
          <w:sz w:val="26"/>
          <w:szCs w:val="26"/>
          <w:rtl/>
          <w:lang w:bidi="ar"/>
        </w:rPr>
        <w:t xml:space="preserve"> عام 2019 أدى خلط مادة من برميل مشابه إلى انفجار ووفاة أربعة عمال [1]، وفي حادثة </w:t>
      </w:r>
      <w:r>
        <w:rPr>
          <w:rFonts w:ascii="Simplified Arabic" w:hAnsi="Simplified Arabic" w:cs="Simplified Arabic"/>
          <w:sz w:val="26"/>
          <w:szCs w:val="26"/>
          <w:lang w:bidi="ar"/>
        </w:rPr>
        <w:t>MGPI</w:t>
      </w:r>
      <w:r>
        <w:rPr>
          <w:rFonts w:ascii="Simplified Arabic" w:hAnsi="Simplified Arabic" w:cs="Simplified Arabic"/>
          <w:sz w:val="26"/>
          <w:szCs w:val="26"/>
          <w:rtl/>
          <w:lang w:bidi="ar"/>
        </w:rPr>
        <w:t xml:space="preserve"> عام 2016 وُصل حمض الكبريتيك بخزان المُبيِّض فتكوّنت سحابة من غاز الكلور [2]. وأحصى المجلس ثماني حوادث خلط لمواد غير متوافقة بين عامي 2014 و2018 أسفرت عن 44 إصابة وإخلاء 846 شخصاً [3]. كما سجّلت مراكز السموم الأمريكية 13,769 حالة مرتبطة بالمُبيِّض خلال أحد عشر أسبوعاً من عام 2020 بزيادة 65% [4]. وهذه المواد هي نفسها المواد الخام الأساسية في صناعة المنظفات، وأسباب الحوادث (عبوات متشابهة، ملصقات رديئة، غياب تحليل المخاطر) أسباب يمكن معالجتها برمجياً.</w:t>
      </w:r>
    </w:p>
    <w:p w14:paraId="58E69BCC" w14:textId="77777777" w:rsidR="00D11777" w:rsidRDefault="00D11777">
      <w:pPr>
        <w:pStyle w:val="3"/>
        <w:bidi/>
        <w:spacing w:line="276" w:lineRule="auto"/>
        <w:jc w:val="both"/>
        <w:rPr>
          <w:rFonts w:eastAsia="Times New Roman"/>
          <w:rtl/>
          <w:lang w:bidi="ar"/>
        </w:rPr>
      </w:pPr>
      <w:r>
        <w:rPr>
          <w:rFonts w:eastAsia="Times New Roman"/>
          <w:rtl/>
          <w:lang w:bidi="ar"/>
        </w:rPr>
        <w:t>الأهمية الأكاديمية</w:t>
      </w:r>
    </w:p>
    <w:p w14:paraId="21F3CC7C"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 xml:space="preserve">يتناول المشروع مسألة الاستخدام الآمن للنماذج اللغوية في المجالات الحرجة؛ فقد أظهر معيار </w:t>
      </w:r>
      <w:r>
        <w:rPr>
          <w:rFonts w:ascii="Simplified Arabic" w:hAnsi="Simplified Arabic" w:cs="Simplified Arabic"/>
          <w:sz w:val="26"/>
          <w:szCs w:val="26"/>
          <w:lang w:bidi="ar"/>
        </w:rPr>
        <w:t>LabSafety Bench</w:t>
      </w:r>
      <w:r>
        <w:rPr>
          <w:rFonts w:ascii="Simplified Arabic" w:hAnsi="Simplified Arabic" w:cs="Simplified Arabic"/>
          <w:sz w:val="26"/>
          <w:szCs w:val="26"/>
          <w:rtl/>
          <w:lang w:bidi="ar"/>
        </w:rPr>
        <w:t xml:space="preserve"> أن أياً من تسعة عشر نموذجاً لم تتجاوز دقته 70% في تحديد المخاطر المختبرية [5]، وأشار معيار </w:t>
      </w:r>
      <w:r>
        <w:rPr>
          <w:rFonts w:ascii="Simplified Arabic" w:hAnsi="Simplified Arabic" w:cs="Simplified Arabic"/>
          <w:sz w:val="26"/>
          <w:szCs w:val="26"/>
          <w:lang w:bidi="ar"/>
        </w:rPr>
        <w:t>ChemBench</w:t>
      </w:r>
      <w:r>
        <w:rPr>
          <w:rFonts w:ascii="Simplified Arabic" w:hAnsi="Simplified Arabic" w:cs="Simplified Arabic"/>
          <w:sz w:val="26"/>
          <w:szCs w:val="26"/>
          <w:rtl/>
          <w:lang w:bidi="ar"/>
        </w:rPr>
        <w:t xml:space="preserve"> إلى ضعف النماذج في مسائل السلامة الكيميائية [6]. ويقترح المشروع نهجاً يجمع بين محرّك قواعد ثابت يتخذ قرارات السلامة، ونموذج لغوي مقيّد بمصادر موثوقة يقتصر على الشرح، مستنداً إلى أعمال سابقة مثل نظام </w:t>
      </w:r>
      <w:r>
        <w:rPr>
          <w:rFonts w:ascii="Simplified Arabic" w:hAnsi="Simplified Arabic" w:cs="Simplified Arabic"/>
          <w:sz w:val="26"/>
          <w:szCs w:val="26"/>
          <w:lang w:bidi="ar"/>
        </w:rPr>
        <w:t>ChemCrow</w:t>
      </w:r>
      <w:r>
        <w:rPr>
          <w:rFonts w:ascii="Simplified Arabic" w:hAnsi="Simplified Arabic" w:cs="Simplified Arabic"/>
          <w:sz w:val="26"/>
          <w:szCs w:val="26"/>
          <w:rtl/>
          <w:lang w:bidi="ar"/>
        </w:rPr>
        <w:t xml:space="preserve"> [7].</w:t>
      </w:r>
    </w:p>
    <w:p w14:paraId="20F86FB0" w14:textId="77777777" w:rsidR="00D11777" w:rsidRDefault="00D11777">
      <w:pPr>
        <w:pStyle w:val="2"/>
        <w:bidi/>
        <w:spacing w:line="276" w:lineRule="auto"/>
        <w:jc w:val="both"/>
        <w:rPr>
          <w:rFonts w:eastAsia="Times New Roman"/>
          <w:rtl/>
          <w:lang w:bidi="ar"/>
        </w:rPr>
      </w:pPr>
      <w:r>
        <w:rPr>
          <w:rFonts w:eastAsia="Times New Roman"/>
          <w:rtl/>
          <w:lang w:bidi="ar"/>
        </w:rPr>
        <w:t>1-3 أهداف المشروع</w:t>
      </w:r>
    </w:p>
    <w:p w14:paraId="75E18714" w14:textId="77777777" w:rsidR="00D11777" w:rsidRDefault="00D11777">
      <w:pPr>
        <w:pStyle w:val="3"/>
        <w:bidi/>
        <w:spacing w:line="276" w:lineRule="auto"/>
        <w:jc w:val="both"/>
        <w:rPr>
          <w:rFonts w:eastAsia="Times New Roman"/>
          <w:rtl/>
          <w:lang w:bidi="ar"/>
        </w:rPr>
      </w:pPr>
      <w:r>
        <w:rPr>
          <w:rFonts w:eastAsia="Times New Roman"/>
          <w:rtl/>
          <w:lang w:bidi="ar"/>
        </w:rPr>
        <w:t>الهدف الرئيسي</w:t>
      </w:r>
    </w:p>
    <w:p w14:paraId="680809CB"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بناء منصة ويب عربية لإدارة الخلطات الكيميائية والسلامة لمعامل المنظفات الصغيرة والمتوسطة، تربط التركيبات بالمخزون وبيانات السلامة، وتستخدم الذكاء الاصطناعي استخداماً آمناً ومقيّداً بالمصادر، بنهاية الفصل الدراسي الأول.</w:t>
      </w:r>
    </w:p>
    <w:p w14:paraId="176C9095" w14:textId="77777777" w:rsidR="00D11777" w:rsidRDefault="00D11777">
      <w:pPr>
        <w:pStyle w:val="3"/>
        <w:bidi/>
        <w:spacing w:line="276" w:lineRule="auto"/>
        <w:jc w:val="both"/>
        <w:rPr>
          <w:rFonts w:eastAsia="Times New Roman"/>
          <w:rtl/>
          <w:lang w:bidi="ar"/>
        </w:rPr>
      </w:pPr>
      <w:r>
        <w:rPr>
          <w:rFonts w:eastAsia="Times New Roman"/>
          <w:rtl/>
          <w:lang w:bidi="ar"/>
        </w:rPr>
        <w:t>الأهداف الفرعية</w:t>
      </w:r>
    </w:p>
    <w:p w14:paraId="3AF363D2"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 xml:space="preserve">صيغت الأهداف وفق أسلوب </w:t>
      </w:r>
      <w:r>
        <w:rPr>
          <w:rFonts w:ascii="Simplified Arabic" w:hAnsi="Simplified Arabic" w:cs="Simplified Arabic"/>
          <w:sz w:val="26"/>
          <w:szCs w:val="26"/>
          <w:lang w:bidi="ar"/>
        </w:rPr>
        <w:t>SMART</w:t>
      </w:r>
      <w:r>
        <w:rPr>
          <w:rFonts w:ascii="Simplified Arabic" w:hAnsi="Simplified Arabic" w:cs="Simplified Arabic"/>
          <w:sz w:val="26"/>
          <w:szCs w:val="26"/>
          <w:rtl/>
          <w:lang w:bidi="ar"/>
        </w:rPr>
        <w:t xml:space="preserve"> (محدد، قابل للقياس، ممكن، واقعي، محدد زمنياً) كما في الجدول (1</w:t>
      </w:r>
      <w:r>
        <w:rPr>
          <w:rFonts w:ascii="Simplified Arabic" w:hAnsi="Simplified Arabic" w:cs="Simplified Arabic"/>
          <w:sz w:val="26"/>
          <w:szCs w:val="26"/>
          <w:rtl/>
          <w:lang w:bidi="ar"/>
        </w:rPr>
        <w:noBreakHyphen/>
        <w:t>1).</w:t>
      </w:r>
    </w:p>
    <w:p w14:paraId="264931E7" w14:textId="77777777" w:rsidR="00D11777" w:rsidRDefault="00D11777">
      <w:pPr>
        <w:pStyle w:val="cap"/>
        <w:bidi/>
        <w:spacing w:line="276" w:lineRule="auto"/>
        <w:rPr>
          <w:rFonts w:ascii="Simplified Arabic" w:hAnsi="Simplified Arabic" w:cs="Simplified Arabic"/>
          <w:rtl/>
          <w:lang w:bidi="ar"/>
        </w:rPr>
      </w:pPr>
      <w:r>
        <w:rPr>
          <w:rFonts w:ascii="Simplified Arabic" w:hAnsi="Simplified Arabic" w:cs="Simplified Arabic"/>
          <w:rtl/>
          <w:lang w:bidi="ar"/>
        </w:rPr>
        <w:lastRenderedPageBreak/>
        <w:t>الجدول (1-1): الأهداف الفرعية للمشروع ومؤشرات قياسها</w:t>
      </w:r>
    </w:p>
    <w:tbl>
      <w:tblPr>
        <w:bidiVisual/>
        <w:tblW w:w="5000" w:type="pct"/>
        <w:tblCellMar>
          <w:top w:w="15" w:type="dxa"/>
          <w:left w:w="15" w:type="dxa"/>
          <w:bottom w:w="15" w:type="dxa"/>
          <w:right w:w="15" w:type="dxa"/>
        </w:tblCellMar>
        <w:tblLook w:val="04A0" w:firstRow="1" w:lastRow="0" w:firstColumn="1" w:lastColumn="0" w:noHBand="0" w:noVBand="1"/>
      </w:tblPr>
      <w:tblGrid>
        <w:gridCol w:w="631"/>
        <w:gridCol w:w="2973"/>
        <w:gridCol w:w="4325"/>
        <w:gridCol w:w="1081"/>
      </w:tblGrid>
      <w:tr w:rsidR="00AD273F" w14:paraId="0A81DF90" w14:textId="77777777">
        <w:tc>
          <w:tcPr>
            <w:tcW w:w="350" w:type="pct"/>
            <w:tcBorders>
              <w:top w:val="single" w:sz="6" w:space="0" w:color="000000"/>
              <w:left w:val="single" w:sz="6" w:space="0" w:color="000000"/>
              <w:bottom w:val="single" w:sz="6" w:space="0" w:color="000000"/>
              <w:right w:val="single" w:sz="6" w:space="0" w:color="000000"/>
            </w:tcBorders>
            <w:shd w:val="clear" w:color="auto" w:fill="D9D9D9"/>
            <w:tcMar>
              <w:top w:w="20" w:type="dxa"/>
              <w:left w:w="80" w:type="dxa"/>
              <w:bottom w:w="20" w:type="dxa"/>
              <w:right w:w="80" w:type="dxa"/>
            </w:tcMar>
            <w:hideMark/>
          </w:tcPr>
          <w:p w14:paraId="610C30C0"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الرمز</w:t>
            </w:r>
          </w:p>
        </w:tc>
        <w:tc>
          <w:tcPr>
            <w:tcW w:w="1650" w:type="pct"/>
            <w:tcBorders>
              <w:top w:val="single" w:sz="6" w:space="0" w:color="000000"/>
              <w:left w:val="single" w:sz="6" w:space="0" w:color="000000"/>
              <w:bottom w:val="single" w:sz="6" w:space="0" w:color="000000"/>
              <w:right w:val="single" w:sz="6" w:space="0" w:color="000000"/>
            </w:tcBorders>
            <w:shd w:val="clear" w:color="auto" w:fill="D9D9D9"/>
            <w:tcMar>
              <w:top w:w="20" w:type="dxa"/>
              <w:left w:w="80" w:type="dxa"/>
              <w:bottom w:w="20" w:type="dxa"/>
              <w:right w:w="80" w:type="dxa"/>
            </w:tcMar>
            <w:hideMark/>
          </w:tcPr>
          <w:p w14:paraId="2BB71AAE"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الهدف الفرعي</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20" w:type="dxa"/>
              <w:left w:w="80" w:type="dxa"/>
              <w:bottom w:w="20" w:type="dxa"/>
              <w:right w:w="80" w:type="dxa"/>
            </w:tcMar>
            <w:hideMark/>
          </w:tcPr>
          <w:p w14:paraId="2A875264"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مؤشر القياس</w:t>
            </w:r>
          </w:p>
        </w:tc>
        <w:tc>
          <w:tcPr>
            <w:tcW w:w="600" w:type="pct"/>
            <w:tcBorders>
              <w:top w:val="single" w:sz="6" w:space="0" w:color="000000"/>
              <w:left w:val="single" w:sz="6" w:space="0" w:color="000000"/>
              <w:bottom w:val="single" w:sz="6" w:space="0" w:color="000000"/>
              <w:right w:val="single" w:sz="6" w:space="0" w:color="000000"/>
            </w:tcBorders>
            <w:shd w:val="clear" w:color="auto" w:fill="D9D9D9"/>
            <w:tcMar>
              <w:top w:w="20" w:type="dxa"/>
              <w:left w:w="80" w:type="dxa"/>
              <w:bottom w:w="20" w:type="dxa"/>
              <w:right w:w="80" w:type="dxa"/>
            </w:tcMar>
            <w:hideMark/>
          </w:tcPr>
          <w:p w14:paraId="24707D41"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الموعد</w:t>
            </w:r>
          </w:p>
        </w:tc>
      </w:tr>
      <w:tr w:rsidR="00AD273F" w14:paraId="1008F5F4" w14:textId="77777777">
        <w:tc>
          <w:tcPr>
            <w:tcW w:w="0" w:type="auto"/>
            <w:gridSpan w:val="4"/>
            <w:tcBorders>
              <w:top w:val="single" w:sz="6" w:space="0" w:color="000000"/>
              <w:left w:val="single" w:sz="6" w:space="0" w:color="000000"/>
              <w:bottom w:val="single" w:sz="6" w:space="0" w:color="000000"/>
              <w:right w:val="single" w:sz="6" w:space="0" w:color="000000"/>
            </w:tcBorders>
            <w:shd w:val="clear" w:color="auto" w:fill="F2F2F2"/>
            <w:tcMar>
              <w:top w:w="20" w:type="dxa"/>
              <w:left w:w="80" w:type="dxa"/>
              <w:bottom w:w="20" w:type="dxa"/>
              <w:right w:w="80" w:type="dxa"/>
            </w:tcMar>
            <w:hideMark/>
          </w:tcPr>
          <w:p w14:paraId="336A4C96"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أهداف السلامة الكيميائية</w:t>
            </w:r>
          </w:p>
        </w:tc>
      </w:tr>
      <w:tr w:rsidR="00AD273F" w14:paraId="6ADC79AD"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2D054D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O1</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D54066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جلب بيانات الخطورة (</w:t>
            </w:r>
            <w:r>
              <w:rPr>
                <w:rFonts w:ascii="Simplified Arabic" w:eastAsia="Times New Roman" w:hAnsi="Simplified Arabic" w:cs="Simplified Arabic"/>
                <w:sz w:val="22"/>
                <w:szCs w:val="22"/>
              </w:rPr>
              <w:t>GHS</w:t>
            </w:r>
            <w:r>
              <w:rPr>
                <w:rFonts w:ascii="Simplified Arabic" w:eastAsia="Times New Roman" w:hAnsi="Simplified Arabic" w:cs="Simplified Arabic"/>
                <w:sz w:val="22"/>
                <w:szCs w:val="22"/>
                <w:rtl/>
              </w:rPr>
              <w:t xml:space="preserve">) آلياً من </w:t>
            </w:r>
            <w:r>
              <w:rPr>
                <w:rFonts w:ascii="Simplified Arabic" w:eastAsia="Times New Roman" w:hAnsi="Simplified Arabic" w:cs="Simplified Arabic"/>
                <w:sz w:val="22"/>
                <w:szCs w:val="22"/>
              </w:rPr>
              <w:t>PubChem</w:t>
            </w:r>
            <w:r>
              <w:rPr>
                <w:rFonts w:ascii="Simplified Arabic" w:eastAsia="Times New Roman" w:hAnsi="Simplified Arabic" w:cs="Simplified Arabic"/>
                <w:sz w:val="22"/>
                <w:szCs w:val="22"/>
                <w:rtl/>
              </w:rPr>
              <w:t xml:space="preserve"> برقم </w:t>
            </w:r>
            <w:r>
              <w:rPr>
                <w:rFonts w:ascii="Simplified Arabic" w:eastAsia="Times New Roman" w:hAnsi="Simplified Arabic" w:cs="Simplified Arabic"/>
                <w:sz w:val="22"/>
                <w:szCs w:val="22"/>
              </w:rPr>
              <w:t>CAS</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B86D478"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جلب الرموز وكلمة التنبيه وعبارات </w:t>
            </w:r>
            <w:r>
              <w:rPr>
                <w:rFonts w:ascii="Simplified Arabic" w:eastAsia="Times New Roman" w:hAnsi="Simplified Arabic" w:cs="Simplified Arabic"/>
                <w:sz w:val="22"/>
                <w:szCs w:val="22"/>
              </w:rPr>
              <w:t>H</w:t>
            </w:r>
            <w:r>
              <w:rPr>
                <w:rFonts w:ascii="Simplified Arabic" w:eastAsia="Times New Roman" w:hAnsi="Simplified Arabic" w:cs="Simplified Arabic"/>
                <w:sz w:val="22"/>
                <w:szCs w:val="22"/>
                <w:rtl/>
              </w:rPr>
              <w:t xml:space="preserve"> و</w:t>
            </w:r>
            <w:r>
              <w:rPr>
                <w:rFonts w:ascii="Simplified Arabic" w:eastAsia="Times New Roman" w:hAnsi="Simplified Arabic" w:cs="Simplified Arabic"/>
                <w:sz w:val="22"/>
                <w:szCs w:val="22"/>
              </w:rPr>
              <w:t>P</w:t>
            </w:r>
            <w:r>
              <w:rPr>
                <w:rFonts w:ascii="Simplified Arabic" w:eastAsia="Times New Roman" w:hAnsi="Simplified Arabic" w:cs="Simplified Arabic"/>
                <w:sz w:val="22"/>
                <w:szCs w:val="22"/>
                <w:rtl/>
              </w:rPr>
              <w:t>، ورسالة واضحة للمواد غير الموجودة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E91CFC4"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6</w:t>
            </w:r>
          </w:p>
        </w:tc>
      </w:tr>
      <w:tr w:rsidR="00AD273F" w14:paraId="67DEC7CE"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734DC35"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O2</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1F0A88F"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اكتشاف التعارض الكيميائي في التركيبة قبل اعتمادها</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787F3E7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اكتشاف 100% من الأزواج المعرّفة في جدول القواعد، ومنع الاعتماد دون تأكيد المدير وتسجيله</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48CC7E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8</w:t>
            </w:r>
          </w:p>
        </w:tc>
      </w:tr>
      <w:tr w:rsidR="00AD273F" w14:paraId="524248A5"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8A41B9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O3</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7AC2CC4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ضمان صحة نِسب التركيبة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E231BD4"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رفض أي تركيبة لا يساوي مجموعها 100% (بفارق لا يتجاوز 0.01%)</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3EF66A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8</w:t>
            </w:r>
          </w:p>
        </w:tc>
      </w:tr>
      <w:tr w:rsidR="00AD273F" w14:paraId="4A906569" w14:textId="77777777">
        <w:tc>
          <w:tcPr>
            <w:tcW w:w="0" w:type="auto"/>
            <w:gridSpan w:val="4"/>
            <w:tcBorders>
              <w:top w:val="single" w:sz="6" w:space="0" w:color="000000"/>
              <w:left w:val="single" w:sz="6" w:space="0" w:color="000000"/>
              <w:bottom w:val="single" w:sz="6" w:space="0" w:color="000000"/>
              <w:right w:val="single" w:sz="6" w:space="0" w:color="000000"/>
            </w:tcBorders>
            <w:shd w:val="clear" w:color="auto" w:fill="F2F2F2"/>
            <w:tcMar>
              <w:top w:w="20" w:type="dxa"/>
              <w:left w:w="80" w:type="dxa"/>
              <w:bottom w:w="20" w:type="dxa"/>
              <w:right w:w="80" w:type="dxa"/>
            </w:tcMar>
            <w:hideMark/>
          </w:tcPr>
          <w:p w14:paraId="53E9C752"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أهداف المخزون والإنتاج</w:t>
            </w:r>
          </w:p>
        </w:tc>
      </w:tr>
      <w:tr w:rsidR="00AD273F" w14:paraId="3F9C7690"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08F5812"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O4</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63265BC"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تتبّع المخزون على مستوى الدفعة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675A3C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تسجيل كل كمية كدفعة برمز فريد وتاريخ صلاحية وموقع</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A19ECC1"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10</w:t>
            </w:r>
          </w:p>
        </w:tc>
      </w:tr>
      <w:tr w:rsidR="00AD273F" w14:paraId="6A162401"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707D52F8"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O5</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2E4DA1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التنبيه المبكر لمخاطر المخزون</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708EC69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تنبيهات للمنتهية، والتي تنتهي خلال 30 يوماً، والكميات المنخفضة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06692B0"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10</w:t>
            </w:r>
          </w:p>
        </w:tc>
      </w:tr>
      <w:tr w:rsidR="00AD273F" w14:paraId="0AE871CC"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E7031CC"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O6</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1334D7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أتمتة خصم المخزون عند الإنتاج</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8303098"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خصم وفق </w:t>
            </w:r>
            <w:r>
              <w:rPr>
                <w:rFonts w:ascii="Simplified Arabic" w:eastAsia="Times New Roman" w:hAnsi="Simplified Arabic" w:cs="Simplified Arabic"/>
                <w:sz w:val="22"/>
                <w:szCs w:val="22"/>
              </w:rPr>
              <w:t>FEFO</w:t>
            </w:r>
            <w:r>
              <w:rPr>
                <w:rFonts w:ascii="Simplified Arabic" w:eastAsia="Times New Roman" w:hAnsi="Simplified Arabic" w:cs="Simplified Arabic"/>
                <w:sz w:val="22"/>
                <w:szCs w:val="22"/>
                <w:rtl/>
              </w:rPr>
              <w:t xml:space="preserve"> في عملية واحدة غير قابلة للتجزئة مع تسجيل الدفعات المستخدمة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BC4E094"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11</w:t>
            </w:r>
          </w:p>
        </w:tc>
      </w:tr>
      <w:tr w:rsidR="00AD273F" w14:paraId="5F473EC6"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2626565"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O7</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3D895B4"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تنظيم دورة الشراء</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6F3F535"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دورة كاملة (طلب </w:t>
            </w:r>
            <w:r>
              <w:rPr>
                <w:rFonts w:eastAsia="Times New Roman" w:hint="cs"/>
                <w:sz w:val="22"/>
                <w:szCs w:val="22"/>
                <w:rtl/>
              </w:rPr>
              <w:t>←</w:t>
            </w:r>
            <w:r>
              <w:rPr>
                <w:rFonts w:ascii="Simplified Arabic" w:eastAsia="Times New Roman" w:hAnsi="Simplified Arabic" w:cs="Simplified Arabic"/>
                <w:sz w:val="22"/>
                <w:szCs w:val="22"/>
                <w:rtl/>
              </w:rPr>
              <w:t xml:space="preserve"> </w:t>
            </w:r>
            <w:r>
              <w:rPr>
                <w:rFonts w:ascii="Simplified Arabic" w:eastAsia="Times New Roman" w:hAnsi="Simplified Arabic" w:cs="Simplified Arabic" w:hint="cs"/>
                <w:sz w:val="22"/>
                <w:szCs w:val="22"/>
                <w:rtl/>
              </w:rPr>
              <w:t>موافقة</w:t>
            </w:r>
            <w:r>
              <w:rPr>
                <w:rFonts w:ascii="Simplified Arabic" w:eastAsia="Times New Roman" w:hAnsi="Simplified Arabic" w:cs="Simplified Arabic"/>
                <w:sz w:val="22"/>
                <w:szCs w:val="22"/>
                <w:rtl/>
              </w:rPr>
              <w:t xml:space="preserve"> </w:t>
            </w:r>
            <w:r>
              <w:rPr>
                <w:rFonts w:eastAsia="Times New Roman" w:hint="cs"/>
                <w:sz w:val="22"/>
                <w:szCs w:val="22"/>
                <w:rtl/>
              </w:rPr>
              <w:t>←</w:t>
            </w:r>
            <w:r>
              <w:rPr>
                <w:rFonts w:ascii="Simplified Arabic" w:eastAsia="Times New Roman" w:hAnsi="Simplified Arabic" w:cs="Simplified Arabic"/>
                <w:sz w:val="22"/>
                <w:szCs w:val="22"/>
                <w:rtl/>
              </w:rPr>
              <w:t xml:space="preserve"> </w:t>
            </w:r>
            <w:r>
              <w:rPr>
                <w:rFonts w:ascii="Simplified Arabic" w:eastAsia="Times New Roman" w:hAnsi="Simplified Arabic" w:cs="Simplified Arabic" w:hint="cs"/>
                <w:sz w:val="22"/>
                <w:szCs w:val="22"/>
                <w:rtl/>
              </w:rPr>
              <w:t>استلام</w:t>
            </w:r>
            <w:r>
              <w:rPr>
                <w:rFonts w:ascii="Simplified Arabic" w:eastAsia="Times New Roman" w:hAnsi="Simplified Arabic" w:cs="Simplified Arabic"/>
                <w:sz w:val="22"/>
                <w:szCs w:val="22"/>
                <w:rtl/>
              </w:rPr>
              <w:t xml:space="preserve">) </w:t>
            </w:r>
            <w:r>
              <w:rPr>
                <w:rFonts w:ascii="Simplified Arabic" w:eastAsia="Times New Roman" w:hAnsi="Simplified Arabic" w:cs="Simplified Arabic" w:hint="cs"/>
                <w:sz w:val="22"/>
                <w:szCs w:val="22"/>
                <w:rtl/>
              </w:rPr>
              <w:t>تضيف</w:t>
            </w:r>
            <w:r>
              <w:rPr>
                <w:rFonts w:ascii="Simplified Arabic" w:eastAsia="Times New Roman" w:hAnsi="Simplified Arabic" w:cs="Simplified Arabic"/>
                <w:sz w:val="22"/>
                <w:szCs w:val="22"/>
                <w:rtl/>
              </w:rPr>
              <w:t xml:space="preserve"> </w:t>
            </w:r>
            <w:r>
              <w:rPr>
                <w:rFonts w:ascii="Simplified Arabic" w:eastAsia="Times New Roman" w:hAnsi="Simplified Arabic" w:cs="Simplified Arabic" w:hint="cs"/>
                <w:sz w:val="22"/>
                <w:szCs w:val="22"/>
                <w:rtl/>
              </w:rPr>
              <w:t>الكميات</w:t>
            </w:r>
            <w:r>
              <w:rPr>
                <w:rFonts w:ascii="Simplified Arabic" w:eastAsia="Times New Roman" w:hAnsi="Simplified Arabic" w:cs="Simplified Arabic"/>
                <w:sz w:val="22"/>
                <w:szCs w:val="22"/>
                <w:rtl/>
              </w:rPr>
              <w:t xml:space="preserve"> </w:t>
            </w:r>
            <w:r>
              <w:rPr>
                <w:rFonts w:ascii="Simplified Arabic" w:eastAsia="Times New Roman" w:hAnsi="Simplified Arabic" w:cs="Simplified Arabic" w:hint="cs"/>
                <w:sz w:val="22"/>
                <w:szCs w:val="22"/>
                <w:rtl/>
              </w:rPr>
              <w:t>كدفعات</w:t>
            </w:r>
            <w:r>
              <w:rPr>
                <w:rFonts w:ascii="Simplified Arabic" w:eastAsia="Times New Roman" w:hAnsi="Simplified Arabic" w:cs="Simplified Arabic"/>
                <w:sz w:val="22"/>
                <w:szCs w:val="22"/>
                <w:rtl/>
              </w:rPr>
              <w:t xml:space="preserve"> </w:t>
            </w:r>
            <w:r>
              <w:rPr>
                <w:rFonts w:ascii="Simplified Arabic" w:eastAsia="Times New Roman" w:hAnsi="Simplified Arabic" w:cs="Simplified Arabic" w:hint="cs"/>
                <w:sz w:val="22"/>
                <w:szCs w:val="22"/>
                <w:rtl/>
              </w:rPr>
              <w:t>آلياً</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812AB6C"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12</w:t>
            </w:r>
          </w:p>
        </w:tc>
      </w:tr>
      <w:tr w:rsidR="00AD273F" w14:paraId="77CD5FA9" w14:textId="77777777">
        <w:tc>
          <w:tcPr>
            <w:tcW w:w="0" w:type="auto"/>
            <w:gridSpan w:val="4"/>
            <w:tcBorders>
              <w:top w:val="single" w:sz="6" w:space="0" w:color="000000"/>
              <w:left w:val="single" w:sz="6" w:space="0" w:color="000000"/>
              <w:bottom w:val="single" w:sz="6" w:space="0" w:color="000000"/>
              <w:right w:val="single" w:sz="6" w:space="0" w:color="000000"/>
            </w:tcBorders>
            <w:shd w:val="clear" w:color="auto" w:fill="F2F2F2"/>
            <w:tcMar>
              <w:top w:w="20" w:type="dxa"/>
              <w:left w:w="80" w:type="dxa"/>
              <w:bottom w:w="20" w:type="dxa"/>
              <w:right w:w="80" w:type="dxa"/>
            </w:tcMar>
            <w:hideMark/>
          </w:tcPr>
          <w:p w14:paraId="4B402B63"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أهداف الذكاء الاصطناعي</w:t>
            </w:r>
          </w:p>
        </w:tc>
      </w:tr>
      <w:tr w:rsidR="00AD273F" w14:paraId="0F7E4FDF"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CDBC96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O8</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6CA9417"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توليد ملخّص سلامة عربي مبسّط</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4A0131F"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ملخّص بأربعة أقسام لا يتجاوز 200 كلمة، معتمد حصراً على بيانات </w:t>
            </w:r>
            <w:r>
              <w:rPr>
                <w:rFonts w:ascii="Simplified Arabic" w:eastAsia="Times New Roman" w:hAnsi="Simplified Arabic" w:cs="Simplified Arabic"/>
                <w:sz w:val="22"/>
                <w:szCs w:val="22"/>
              </w:rPr>
              <w:t>GHS</w:t>
            </w:r>
            <w:r>
              <w:rPr>
                <w:rFonts w:ascii="Simplified Arabic" w:eastAsia="Times New Roman" w:hAnsi="Simplified Arabic" w:cs="Simplified Arabic"/>
                <w:sz w:val="22"/>
                <w:szCs w:val="22"/>
                <w:rtl/>
              </w:rPr>
              <w:t xml:space="preserve"> المحفوظة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C0A3AC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12</w:t>
            </w:r>
          </w:p>
        </w:tc>
      </w:tr>
      <w:tr w:rsidR="00AD273F" w14:paraId="57011B4A"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7BCAD47B"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O9</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F4674E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تقييم موثوقية المساعد الذكي</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CFFDCCC"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مقارنة الملخّصات بتصنيف </w:t>
            </w:r>
            <w:r>
              <w:rPr>
                <w:rFonts w:ascii="Simplified Arabic" w:eastAsia="Times New Roman" w:hAnsi="Simplified Arabic" w:cs="Simplified Arabic"/>
                <w:sz w:val="22"/>
                <w:szCs w:val="22"/>
              </w:rPr>
              <w:t>GHS</w:t>
            </w:r>
            <w:r>
              <w:rPr>
                <w:rFonts w:ascii="Simplified Arabic" w:eastAsia="Times New Roman" w:hAnsi="Simplified Arabic" w:cs="Simplified Arabic"/>
                <w:sz w:val="22"/>
                <w:szCs w:val="22"/>
                <w:rtl/>
              </w:rPr>
              <w:t xml:space="preserve"> المرجعي لعيّنة من 30 مادة على الأقل</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EC642E5"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14</w:t>
            </w:r>
          </w:p>
        </w:tc>
      </w:tr>
      <w:tr w:rsidR="00AD273F" w14:paraId="4747C25E" w14:textId="77777777">
        <w:tc>
          <w:tcPr>
            <w:tcW w:w="0" w:type="auto"/>
            <w:gridSpan w:val="4"/>
            <w:tcBorders>
              <w:top w:val="single" w:sz="6" w:space="0" w:color="000000"/>
              <w:left w:val="single" w:sz="6" w:space="0" w:color="000000"/>
              <w:bottom w:val="single" w:sz="6" w:space="0" w:color="000000"/>
              <w:right w:val="single" w:sz="6" w:space="0" w:color="000000"/>
            </w:tcBorders>
            <w:shd w:val="clear" w:color="auto" w:fill="F2F2F2"/>
            <w:tcMar>
              <w:top w:w="20" w:type="dxa"/>
              <w:left w:w="80" w:type="dxa"/>
              <w:bottom w:w="20" w:type="dxa"/>
              <w:right w:w="80" w:type="dxa"/>
            </w:tcMar>
            <w:hideMark/>
          </w:tcPr>
          <w:p w14:paraId="6080C664"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أهداف الجودة</w:t>
            </w:r>
          </w:p>
        </w:tc>
      </w:tr>
      <w:tr w:rsidR="00AD273F" w14:paraId="057FDF10"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6F87A66"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O10</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57C644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حماية النظام وبياناته</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01F239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تشفير كلمات المرور، والتحقق من الصلاحية في الخادم عند كل عملية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5A491F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6</w:t>
            </w:r>
          </w:p>
        </w:tc>
      </w:tr>
      <w:tr w:rsidR="00AD273F" w14:paraId="41FF397A"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59D1CB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O11</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76453C7"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واجهة عربية سهلة الاستخدام</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EEEE051"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واجهة عربية من اليمين إلى اليسار تعمل على الحاسوب والهاتف</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D207A4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طوال الفصل</w:t>
            </w:r>
          </w:p>
        </w:tc>
      </w:tr>
      <w:tr w:rsidR="00AD273F" w14:paraId="4388CF5D"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774CCEB0"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lastRenderedPageBreak/>
              <w:t>O12</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8A2402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أداء مقبول</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385037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لا يتجاوز تحميل الصفحة 3 ثوانٍ في الظروف العادية</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0E3F05D"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الأسبوع 14</w:t>
            </w:r>
          </w:p>
        </w:tc>
      </w:tr>
    </w:tbl>
    <w:p w14:paraId="728809BC"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وتشمل أهداف المراحل اللاحقة: تطبيقاً للعاملين في أرض الخلط في الفصل الثاني، وإدارة النفايات الكيميائية وصحائف بيانات السلامة في الفصل الثالث.</w:t>
      </w:r>
    </w:p>
    <w:p w14:paraId="67EA6CA0" w14:textId="77777777" w:rsidR="00D11777" w:rsidRDefault="00D11777">
      <w:pPr>
        <w:pStyle w:val="2"/>
        <w:bidi/>
        <w:spacing w:line="276" w:lineRule="auto"/>
        <w:jc w:val="both"/>
        <w:rPr>
          <w:rFonts w:eastAsia="Times New Roman"/>
          <w:rtl/>
          <w:lang w:bidi="ar"/>
        </w:rPr>
      </w:pPr>
      <w:r>
        <w:rPr>
          <w:rFonts w:eastAsia="Times New Roman"/>
          <w:rtl/>
          <w:lang w:bidi="ar"/>
        </w:rPr>
        <w:t>1-4 نطاق المشروع والقيود والافتراضات</w:t>
      </w:r>
    </w:p>
    <w:p w14:paraId="275635BB"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b/>
          <w:bCs/>
          <w:sz w:val="26"/>
          <w:szCs w:val="26"/>
          <w:rtl/>
          <w:lang w:bidi="ar"/>
        </w:rPr>
        <w:t>النطاق:</w:t>
      </w:r>
      <w:r>
        <w:rPr>
          <w:rFonts w:ascii="Simplified Arabic" w:hAnsi="Simplified Arabic" w:cs="Simplified Arabic"/>
          <w:sz w:val="26"/>
          <w:szCs w:val="26"/>
          <w:rtl/>
          <w:lang w:bidi="ar"/>
        </w:rPr>
        <w:t xml:space="preserve"> منصة ويب عربية تشمل إدارة المستخدمين بدورين (المدير وموظف المخزن)، والمواد وبيانات خطورتها، والتركيبات وفحص التعارض، والمخزون والدفعات، وأوامر الإنتاج، ودورة الشراء، ومساعد السلامة الذكي. ولا تشمل هذه المرحلة تطبيق الهاتف، ولا إدارة النفايات وصحائف </w:t>
      </w:r>
      <w:r>
        <w:rPr>
          <w:rFonts w:ascii="Simplified Arabic" w:hAnsi="Simplified Arabic" w:cs="Simplified Arabic"/>
          <w:sz w:val="26"/>
          <w:szCs w:val="26"/>
          <w:lang w:bidi="ar"/>
        </w:rPr>
        <w:t>SDS</w:t>
      </w:r>
      <w:r>
        <w:rPr>
          <w:rFonts w:ascii="Simplified Arabic" w:hAnsi="Simplified Arabic" w:cs="Simplified Arabic"/>
          <w:sz w:val="26"/>
          <w:szCs w:val="26"/>
          <w:rtl/>
          <w:lang w:bidi="ar"/>
        </w:rPr>
        <w:t>، ولا الربط مع أنظمة المحاسبة.</w:t>
      </w:r>
    </w:p>
    <w:p w14:paraId="31580739"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b/>
          <w:bCs/>
          <w:sz w:val="26"/>
          <w:szCs w:val="26"/>
          <w:rtl/>
          <w:lang w:bidi="ar"/>
        </w:rPr>
        <w:t>القيود:</w:t>
      </w:r>
    </w:p>
    <w:p w14:paraId="1919E9B4" w14:textId="77777777" w:rsidR="00D11777" w:rsidRDefault="00D11777">
      <w:pPr>
        <w:numPr>
          <w:ilvl w:val="0"/>
          <w:numId w:val="3"/>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فصل دراسي واحد بفريق من طالبين.</w:t>
      </w:r>
    </w:p>
    <w:p w14:paraId="1227699F" w14:textId="77777777" w:rsidR="00D11777" w:rsidRDefault="00D11777">
      <w:pPr>
        <w:numPr>
          <w:ilvl w:val="0"/>
          <w:numId w:val="3"/>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 xml:space="preserve">جدول قواعد التعارض نسخة مبسّطة من منهج </w:t>
      </w:r>
      <w:r>
        <w:rPr>
          <w:rFonts w:ascii="Simplified Arabic" w:eastAsia="Times New Roman" w:hAnsi="Simplified Arabic" w:cs="Simplified Arabic"/>
          <w:sz w:val="26"/>
          <w:szCs w:val="26"/>
          <w:lang w:bidi="ar"/>
        </w:rPr>
        <w:t>CAMEO</w:t>
      </w:r>
      <w:r>
        <w:rPr>
          <w:rFonts w:ascii="Simplified Arabic" w:eastAsia="Times New Roman" w:hAnsi="Simplified Arabic" w:cs="Simplified Arabic"/>
          <w:sz w:val="26"/>
          <w:szCs w:val="26"/>
          <w:rtl/>
          <w:lang w:bidi="ar"/>
        </w:rPr>
        <w:t>، ويحتاج مراجعة مختص كيميائي قبل الاستخدام الفعلي.</w:t>
      </w:r>
    </w:p>
    <w:p w14:paraId="0D0BBA54" w14:textId="77777777" w:rsidR="00D11777" w:rsidRDefault="00D11777">
      <w:pPr>
        <w:numPr>
          <w:ilvl w:val="0"/>
          <w:numId w:val="3"/>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 xml:space="preserve">بيانات </w:t>
      </w:r>
      <w:r>
        <w:rPr>
          <w:rFonts w:ascii="Simplified Arabic" w:eastAsia="Times New Roman" w:hAnsi="Simplified Arabic" w:cs="Simplified Arabic"/>
          <w:sz w:val="26"/>
          <w:szCs w:val="26"/>
          <w:lang w:bidi="ar"/>
        </w:rPr>
        <w:t>PubChem</w:t>
      </w:r>
      <w:r>
        <w:rPr>
          <w:rFonts w:ascii="Simplified Arabic" w:eastAsia="Times New Roman" w:hAnsi="Simplified Arabic" w:cs="Simplified Arabic"/>
          <w:sz w:val="26"/>
          <w:szCs w:val="26"/>
          <w:rtl/>
          <w:lang w:bidi="ar"/>
        </w:rPr>
        <w:t xml:space="preserve"> تصف المادة النقية لا المحاليل، وقد لا تتوفر لبعض المواد كالعطور.</w:t>
      </w:r>
    </w:p>
    <w:p w14:paraId="15F7D986" w14:textId="77777777" w:rsidR="00D11777" w:rsidRDefault="00D11777">
      <w:pPr>
        <w:numPr>
          <w:ilvl w:val="0"/>
          <w:numId w:val="3"/>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خدمة الذكاء الاصطناعي تتطلب اتصالاً بالإنترنت ومفتاحاً مدفوعاً، ومخرجاتها استرشادية.</w:t>
      </w:r>
    </w:p>
    <w:p w14:paraId="60609536" w14:textId="77777777" w:rsidR="00D11777" w:rsidRDefault="00D11777">
      <w:pPr>
        <w:numPr>
          <w:ilvl w:val="0"/>
          <w:numId w:val="3"/>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اعتُمدت بيانات تجريبية تحاكي معمل منظفات لعدم توفر بيانات معمل قائم.</w:t>
      </w:r>
    </w:p>
    <w:p w14:paraId="744926E9"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b/>
          <w:bCs/>
          <w:sz w:val="26"/>
          <w:szCs w:val="26"/>
          <w:rtl/>
          <w:lang w:bidi="ar"/>
        </w:rPr>
        <w:t>الافتراضات:</w:t>
      </w:r>
    </w:p>
    <w:p w14:paraId="3566A0DF" w14:textId="77777777" w:rsidR="00D11777" w:rsidRDefault="00D11777">
      <w:pPr>
        <w:numPr>
          <w:ilvl w:val="0"/>
          <w:numId w:val="4"/>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يملك المستخدمون معرفة أساسية باستخدام الحاسوب والمتصفح.</w:t>
      </w:r>
    </w:p>
    <w:p w14:paraId="3D3657F7" w14:textId="77777777" w:rsidR="00D11777" w:rsidRDefault="00D11777">
      <w:pPr>
        <w:numPr>
          <w:ilvl w:val="0"/>
          <w:numId w:val="4"/>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 xml:space="preserve">تُدخل أرقام </w:t>
      </w:r>
      <w:r>
        <w:rPr>
          <w:rFonts w:ascii="Simplified Arabic" w:eastAsia="Times New Roman" w:hAnsi="Simplified Arabic" w:cs="Simplified Arabic"/>
          <w:sz w:val="26"/>
          <w:szCs w:val="26"/>
          <w:lang w:bidi="ar"/>
        </w:rPr>
        <w:t>CAS</w:t>
      </w:r>
      <w:r>
        <w:rPr>
          <w:rFonts w:ascii="Simplified Arabic" w:eastAsia="Times New Roman" w:hAnsi="Simplified Arabic" w:cs="Simplified Arabic"/>
          <w:sz w:val="26"/>
          <w:szCs w:val="26"/>
          <w:rtl/>
          <w:lang w:bidi="ar"/>
        </w:rPr>
        <w:t xml:space="preserve"> والمجموعات التفاعلية بشكل صحيح من مستخدم مخوّل.</w:t>
      </w:r>
    </w:p>
    <w:p w14:paraId="68D9671C" w14:textId="77777777" w:rsidR="00D11777" w:rsidRDefault="00D11777">
      <w:pPr>
        <w:numPr>
          <w:ilvl w:val="0"/>
          <w:numId w:val="4"/>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sz w:val="26"/>
          <w:szCs w:val="26"/>
          <w:rtl/>
          <w:lang w:bidi="ar"/>
        </w:rPr>
        <w:t>تُحسب نِسب التركيبة على أساس الوزن وبوحدة القياس نفسها للمكوّنات.</w:t>
      </w:r>
    </w:p>
    <w:p w14:paraId="775588D7" w14:textId="77777777" w:rsidR="00D11777" w:rsidRDefault="00D11777">
      <w:pPr>
        <w:pStyle w:val="2"/>
        <w:bidi/>
        <w:spacing w:line="276" w:lineRule="auto"/>
        <w:jc w:val="both"/>
        <w:rPr>
          <w:rFonts w:eastAsia="Times New Roman"/>
          <w:rtl/>
          <w:lang w:bidi="ar"/>
        </w:rPr>
      </w:pPr>
      <w:r>
        <w:rPr>
          <w:rFonts w:eastAsia="Times New Roman"/>
          <w:rtl/>
          <w:lang w:bidi="ar"/>
        </w:rPr>
        <w:t>1-5 مساهمة المشروع في المعرفة والمجال</w:t>
      </w:r>
    </w:p>
    <w:p w14:paraId="276FA0FC" w14:textId="77777777" w:rsidR="00D11777" w:rsidRDefault="00D11777">
      <w:pPr>
        <w:numPr>
          <w:ilvl w:val="0"/>
          <w:numId w:val="5"/>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دمج ثلاثة مجالات في نظام واحد:</w:t>
      </w:r>
      <w:r>
        <w:rPr>
          <w:rFonts w:ascii="Simplified Arabic" w:eastAsia="Times New Roman" w:hAnsi="Simplified Arabic" w:cs="Simplified Arabic"/>
          <w:sz w:val="26"/>
          <w:szCs w:val="26"/>
          <w:rtl/>
          <w:lang w:bidi="ar"/>
        </w:rPr>
        <w:t xml:space="preserve"> الربط بين التركيبات والمخزون وبيانات السلامة، وهي عناصر تتوزع في الحلول القائمة على أنظمة منفصلة.</w:t>
      </w:r>
    </w:p>
    <w:p w14:paraId="007FA736" w14:textId="77777777" w:rsidR="00D11777" w:rsidRDefault="00D11777">
      <w:pPr>
        <w:numPr>
          <w:ilvl w:val="0"/>
          <w:numId w:val="5"/>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نهج هجين للذكاء الاصطناعي الآمن:</w:t>
      </w:r>
      <w:r>
        <w:rPr>
          <w:rFonts w:ascii="Simplified Arabic" w:eastAsia="Times New Roman" w:hAnsi="Simplified Arabic" w:cs="Simplified Arabic"/>
          <w:sz w:val="26"/>
          <w:szCs w:val="26"/>
          <w:rtl/>
          <w:lang w:bidi="ar"/>
        </w:rPr>
        <w:t xml:space="preserve"> محرّك قواعد ثابت لقرارات السلامة، ونموذج لغوي مقيّد بالمصادر للشرح والتبسيط.</w:t>
      </w:r>
    </w:p>
    <w:p w14:paraId="3C3E76EB" w14:textId="77777777" w:rsidR="00D11777" w:rsidRDefault="00D11777">
      <w:pPr>
        <w:numPr>
          <w:ilvl w:val="0"/>
          <w:numId w:val="5"/>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lastRenderedPageBreak/>
        <w:t>حل عربي منخفض الكلفة:</w:t>
      </w:r>
      <w:r>
        <w:rPr>
          <w:rFonts w:ascii="Simplified Arabic" w:eastAsia="Times New Roman" w:hAnsi="Simplified Arabic" w:cs="Simplified Arabic"/>
          <w:sz w:val="26"/>
          <w:szCs w:val="26"/>
          <w:rtl/>
          <w:lang w:bidi="ar"/>
        </w:rPr>
        <w:t xml:space="preserve"> واجهة عربية كاملة تعتمد على مصادر بيانات مفتوحة ومجانية.</w:t>
      </w:r>
    </w:p>
    <w:p w14:paraId="4364E6F8" w14:textId="77777777" w:rsidR="00D11777" w:rsidRDefault="00D11777">
      <w:pPr>
        <w:numPr>
          <w:ilvl w:val="0"/>
          <w:numId w:val="5"/>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دراسة تقييمية في مجال غير مدروس:</w:t>
      </w:r>
      <w:r>
        <w:rPr>
          <w:rFonts w:ascii="Simplified Arabic" w:eastAsia="Times New Roman" w:hAnsi="Simplified Arabic" w:cs="Simplified Arabic"/>
          <w:sz w:val="26"/>
          <w:szCs w:val="26"/>
          <w:rtl/>
          <w:lang w:bidi="ar"/>
        </w:rPr>
        <w:t xml:space="preserve"> تقييم موثوقية ملخّصات السلامة المولّدة بالعربية على مواد المنظفات.</w:t>
      </w:r>
    </w:p>
    <w:p w14:paraId="10FD95FB" w14:textId="77777777" w:rsidR="00D11777" w:rsidRDefault="00D11777">
      <w:pPr>
        <w:pStyle w:val="2"/>
        <w:bidi/>
        <w:spacing w:line="276" w:lineRule="auto"/>
        <w:jc w:val="both"/>
        <w:rPr>
          <w:rFonts w:eastAsia="Times New Roman"/>
          <w:rtl/>
          <w:lang w:bidi="ar"/>
        </w:rPr>
      </w:pPr>
      <w:r>
        <w:rPr>
          <w:rFonts w:eastAsia="Times New Roman"/>
          <w:rtl/>
          <w:lang w:bidi="ar"/>
        </w:rPr>
        <w:t>1-6 منهجية البحث والأساليب العلمية المتبعة</w:t>
      </w:r>
    </w:p>
    <w:p w14:paraId="6B6F8883" w14:textId="77777777" w:rsidR="00D11777" w:rsidRDefault="00D11777">
      <w:pPr>
        <w:numPr>
          <w:ilvl w:val="0"/>
          <w:numId w:val="6"/>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المنهج الوصفي التحليلي:</w:t>
      </w:r>
      <w:r>
        <w:rPr>
          <w:rFonts w:ascii="Simplified Arabic" w:eastAsia="Times New Roman" w:hAnsi="Simplified Arabic" w:cs="Simplified Arabic"/>
          <w:sz w:val="26"/>
          <w:szCs w:val="26"/>
          <w:rtl/>
          <w:lang w:bidi="ar"/>
        </w:rPr>
        <w:t xml:space="preserve"> في دراسة تقارير الحوادث، وتحليل الأنظمة القائمة، ومراجعة الأبحاث العلمية والمعايير الدولية.</w:t>
      </w:r>
    </w:p>
    <w:p w14:paraId="30D4EAA0" w14:textId="77777777" w:rsidR="00D11777" w:rsidRDefault="00D11777">
      <w:pPr>
        <w:numPr>
          <w:ilvl w:val="0"/>
          <w:numId w:val="6"/>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المنهج الهندسي:</w:t>
      </w:r>
      <w:r>
        <w:rPr>
          <w:rFonts w:ascii="Simplified Arabic" w:eastAsia="Times New Roman" w:hAnsi="Simplified Arabic" w:cs="Simplified Arabic"/>
          <w:sz w:val="26"/>
          <w:szCs w:val="26"/>
          <w:rtl/>
          <w:lang w:bidi="ar"/>
        </w:rPr>
        <w:t xml:space="preserve"> في استخراج المتطلبات وتصميم النظام وقاعدة بياناته وتنفيذه وفق معمارية الطبقات.</w:t>
      </w:r>
    </w:p>
    <w:p w14:paraId="7339B84A" w14:textId="77777777" w:rsidR="00D11777" w:rsidRDefault="00D11777">
      <w:pPr>
        <w:numPr>
          <w:ilvl w:val="0"/>
          <w:numId w:val="6"/>
        </w:numPr>
        <w:bidi/>
        <w:spacing w:before="100" w:beforeAutospacing="1" w:after="40" w:line="276" w:lineRule="auto"/>
        <w:jc w:val="both"/>
        <w:rPr>
          <w:rFonts w:ascii="Simplified Arabic" w:eastAsia="Times New Roman" w:hAnsi="Simplified Arabic" w:cs="Simplified Arabic"/>
          <w:sz w:val="26"/>
          <w:szCs w:val="26"/>
          <w:rtl/>
          <w:lang w:bidi="ar"/>
        </w:rPr>
      </w:pPr>
      <w:r>
        <w:rPr>
          <w:rFonts w:ascii="Simplified Arabic" w:eastAsia="Times New Roman" w:hAnsi="Simplified Arabic" w:cs="Simplified Arabic"/>
          <w:b/>
          <w:bCs/>
          <w:sz w:val="26"/>
          <w:szCs w:val="26"/>
          <w:rtl/>
          <w:lang w:bidi="ar"/>
        </w:rPr>
        <w:t>المنهج التجريبي:</w:t>
      </w:r>
      <w:r>
        <w:rPr>
          <w:rFonts w:ascii="Simplified Arabic" w:eastAsia="Times New Roman" w:hAnsi="Simplified Arabic" w:cs="Simplified Arabic"/>
          <w:sz w:val="26"/>
          <w:szCs w:val="26"/>
          <w:rtl/>
          <w:lang w:bidi="ar"/>
        </w:rPr>
        <w:t xml:space="preserve"> في اختبار المتطلبات الوظيفية، وتقييم موثوقية المساعد الذكي بمقارنة مخرجاته بالتصنيف المرجعي.</w:t>
      </w:r>
    </w:p>
    <w:p w14:paraId="085FE99E" w14:textId="77777777" w:rsidR="00D11777" w:rsidRDefault="00D11777">
      <w:pPr>
        <w:pStyle w:val="2"/>
        <w:bidi/>
        <w:spacing w:line="276" w:lineRule="auto"/>
        <w:jc w:val="both"/>
        <w:rPr>
          <w:rFonts w:eastAsia="Times New Roman"/>
          <w:rtl/>
          <w:lang w:bidi="ar"/>
        </w:rPr>
      </w:pPr>
      <w:r>
        <w:rPr>
          <w:rFonts w:eastAsia="Times New Roman"/>
          <w:rtl/>
          <w:lang w:bidi="ar"/>
        </w:rPr>
        <w:t>1-7 هيكل الوثيقة التنظيمي</w:t>
      </w:r>
    </w:p>
    <w:p w14:paraId="62921A41" w14:textId="77777777" w:rsidR="00D11777" w:rsidRDefault="00D11777">
      <w:pPr>
        <w:pStyle w:val="a3"/>
        <w:bidi/>
        <w:spacing w:line="276" w:lineRule="auto"/>
        <w:jc w:val="both"/>
        <w:rPr>
          <w:rFonts w:ascii="Simplified Arabic" w:hAnsi="Simplified Arabic" w:cs="Simplified Arabic"/>
          <w:sz w:val="26"/>
          <w:szCs w:val="26"/>
          <w:rtl/>
          <w:lang w:bidi="ar"/>
        </w:rPr>
      </w:pPr>
      <w:r>
        <w:rPr>
          <w:rFonts w:ascii="Simplified Arabic" w:hAnsi="Simplified Arabic" w:cs="Simplified Arabic"/>
          <w:sz w:val="26"/>
          <w:szCs w:val="26"/>
          <w:rtl/>
          <w:lang w:bidi="ar"/>
        </w:rPr>
        <w:t xml:space="preserve">تتألف الأطروحة من عشرة فصول: يعرض </w:t>
      </w:r>
      <w:r>
        <w:rPr>
          <w:rFonts w:ascii="Simplified Arabic" w:hAnsi="Simplified Arabic" w:cs="Simplified Arabic"/>
          <w:b/>
          <w:bCs/>
          <w:sz w:val="26"/>
          <w:szCs w:val="26"/>
          <w:rtl/>
          <w:lang w:bidi="ar"/>
        </w:rPr>
        <w:t>الفصل الأول</w:t>
      </w:r>
      <w:r>
        <w:rPr>
          <w:rFonts w:ascii="Simplified Arabic" w:hAnsi="Simplified Arabic" w:cs="Simplified Arabic"/>
          <w:sz w:val="26"/>
          <w:szCs w:val="26"/>
          <w:rtl/>
          <w:lang w:bidi="ar"/>
        </w:rPr>
        <w:t xml:space="preserve"> المقدمة العامة، و</w:t>
      </w:r>
      <w:r>
        <w:rPr>
          <w:rFonts w:ascii="Simplified Arabic" w:hAnsi="Simplified Arabic" w:cs="Simplified Arabic"/>
          <w:b/>
          <w:bCs/>
          <w:sz w:val="26"/>
          <w:szCs w:val="26"/>
          <w:rtl/>
          <w:lang w:bidi="ar"/>
        </w:rPr>
        <w:t>الثاني</w:t>
      </w:r>
      <w:r>
        <w:rPr>
          <w:rFonts w:ascii="Simplified Arabic" w:hAnsi="Simplified Arabic" w:cs="Simplified Arabic"/>
          <w:sz w:val="26"/>
          <w:szCs w:val="26"/>
          <w:rtl/>
          <w:lang w:bidi="ar"/>
        </w:rPr>
        <w:t xml:space="preserve"> منهجية تطوير المشروع وإدارته، و</w:t>
      </w:r>
      <w:r>
        <w:rPr>
          <w:rFonts w:ascii="Simplified Arabic" w:hAnsi="Simplified Arabic" w:cs="Simplified Arabic"/>
          <w:b/>
          <w:bCs/>
          <w:sz w:val="26"/>
          <w:szCs w:val="26"/>
          <w:rtl/>
          <w:lang w:bidi="ar"/>
        </w:rPr>
        <w:t>الثالث</w:t>
      </w:r>
      <w:r>
        <w:rPr>
          <w:rFonts w:ascii="Simplified Arabic" w:hAnsi="Simplified Arabic" w:cs="Simplified Arabic"/>
          <w:sz w:val="26"/>
          <w:szCs w:val="26"/>
          <w:rtl/>
          <w:lang w:bidi="ar"/>
        </w:rPr>
        <w:t xml:space="preserve"> مراجعة الأدبيات والأنظمة القائمة، و</w:t>
      </w:r>
      <w:r>
        <w:rPr>
          <w:rFonts w:ascii="Simplified Arabic" w:hAnsi="Simplified Arabic" w:cs="Simplified Arabic"/>
          <w:b/>
          <w:bCs/>
          <w:sz w:val="26"/>
          <w:szCs w:val="26"/>
          <w:rtl/>
          <w:lang w:bidi="ar"/>
        </w:rPr>
        <w:t>الرابع</w:t>
      </w:r>
      <w:r>
        <w:rPr>
          <w:rFonts w:ascii="Simplified Arabic" w:hAnsi="Simplified Arabic" w:cs="Simplified Arabic"/>
          <w:sz w:val="26"/>
          <w:szCs w:val="26"/>
          <w:rtl/>
          <w:lang w:bidi="ar"/>
        </w:rPr>
        <w:t xml:space="preserve"> نمذجة المتطلبات وتحليلها، و</w:t>
      </w:r>
      <w:r>
        <w:rPr>
          <w:rFonts w:ascii="Simplified Arabic" w:hAnsi="Simplified Arabic" w:cs="Simplified Arabic"/>
          <w:b/>
          <w:bCs/>
          <w:sz w:val="26"/>
          <w:szCs w:val="26"/>
          <w:rtl/>
          <w:lang w:bidi="ar"/>
        </w:rPr>
        <w:t>الخامس</w:t>
      </w:r>
      <w:r>
        <w:rPr>
          <w:rFonts w:ascii="Simplified Arabic" w:hAnsi="Simplified Arabic" w:cs="Simplified Arabic"/>
          <w:sz w:val="26"/>
          <w:szCs w:val="26"/>
          <w:rtl/>
          <w:lang w:bidi="ar"/>
        </w:rPr>
        <w:t xml:space="preserve"> التصميم المعماري وقاعدة البيانات، و</w:t>
      </w:r>
      <w:r>
        <w:rPr>
          <w:rFonts w:ascii="Simplified Arabic" w:hAnsi="Simplified Arabic" w:cs="Simplified Arabic"/>
          <w:b/>
          <w:bCs/>
          <w:sz w:val="26"/>
          <w:szCs w:val="26"/>
          <w:rtl/>
          <w:lang w:bidi="ar"/>
        </w:rPr>
        <w:t>السادس</w:t>
      </w:r>
      <w:r>
        <w:rPr>
          <w:rFonts w:ascii="Simplified Arabic" w:hAnsi="Simplified Arabic" w:cs="Simplified Arabic"/>
          <w:sz w:val="26"/>
          <w:szCs w:val="26"/>
          <w:rtl/>
          <w:lang w:bidi="ar"/>
        </w:rPr>
        <w:t xml:space="preserve"> بيئة التنفيذ والأدوات، و</w:t>
      </w:r>
      <w:r>
        <w:rPr>
          <w:rFonts w:ascii="Simplified Arabic" w:hAnsi="Simplified Arabic" w:cs="Simplified Arabic"/>
          <w:b/>
          <w:bCs/>
          <w:sz w:val="26"/>
          <w:szCs w:val="26"/>
          <w:rtl/>
          <w:lang w:bidi="ar"/>
        </w:rPr>
        <w:t>السابع</w:t>
      </w:r>
      <w:r>
        <w:rPr>
          <w:rFonts w:ascii="Simplified Arabic" w:hAnsi="Simplified Arabic" w:cs="Simplified Arabic"/>
          <w:sz w:val="26"/>
          <w:szCs w:val="26"/>
          <w:rtl/>
          <w:lang w:bidi="ar"/>
        </w:rPr>
        <w:t xml:space="preserve"> التنفيذ البرمجي، و</w:t>
      </w:r>
      <w:r>
        <w:rPr>
          <w:rFonts w:ascii="Simplified Arabic" w:hAnsi="Simplified Arabic" w:cs="Simplified Arabic"/>
          <w:b/>
          <w:bCs/>
          <w:sz w:val="26"/>
          <w:szCs w:val="26"/>
          <w:rtl/>
          <w:lang w:bidi="ar"/>
        </w:rPr>
        <w:t>الثامن</w:t>
      </w:r>
      <w:r>
        <w:rPr>
          <w:rFonts w:ascii="Simplified Arabic" w:hAnsi="Simplified Arabic" w:cs="Simplified Arabic"/>
          <w:sz w:val="26"/>
          <w:szCs w:val="26"/>
          <w:rtl/>
          <w:lang w:bidi="ar"/>
        </w:rPr>
        <w:t xml:space="preserve"> الاختبار والتقييم، و</w:t>
      </w:r>
      <w:r>
        <w:rPr>
          <w:rFonts w:ascii="Simplified Arabic" w:hAnsi="Simplified Arabic" w:cs="Simplified Arabic"/>
          <w:b/>
          <w:bCs/>
          <w:sz w:val="26"/>
          <w:szCs w:val="26"/>
          <w:rtl/>
          <w:lang w:bidi="ar"/>
        </w:rPr>
        <w:t>التاسع</w:t>
      </w:r>
      <w:r>
        <w:rPr>
          <w:rFonts w:ascii="Simplified Arabic" w:hAnsi="Simplified Arabic" w:cs="Simplified Arabic"/>
          <w:sz w:val="26"/>
          <w:szCs w:val="26"/>
          <w:rtl/>
          <w:lang w:bidi="ar"/>
        </w:rPr>
        <w:t xml:space="preserve"> النتائج وتحليلها، و</w:t>
      </w:r>
      <w:r>
        <w:rPr>
          <w:rFonts w:ascii="Simplified Arabic" w:hAnsi="Simplified Arabic" w:cs="Simplified Arabic"/>
          <w:b/>
          <w:bCs/>
          <w:sz w:val="26"/>
          <w:szCs w:val="26"/>
          <w:rtl/>
          <w:lang w:bidi="ar"/>
        </w:rPr>
        <w:t>العاشر</w:t>
      </w:r>
      <w:r>
        <w:rPr>
          <w:rFonts w:ascii="Simplified Arabic" w:hAnsi="Simplified Arabic" w:cs="Simplified Arabic"/>
          <w:sz w:val="26"/>
          <w:szCs w:val="26"/>
          <w:rtl/>
          <w:lang w:bidi="ar"/>
        </w:rPr>
        <w:t xml:space="preserve"> الخاتمة والتوصيات، تليها الملاحق والمراجع.</w:t>
      </w:r>
    </w:p>
    <w:p w14:paraId="1A0610DF" w14:textId="77777777" w:rsidR="00D11777" w:rsidRDefault="00D11777">
      <w:pPr>
        <w:pStyle w:val="2"/>
        <w:bidi/>
        <w:spacing w:line="276" w:lineRule="auto"/>
        <w:jc w:val="both"/>
        <w:rPr>
          <w:rFonts w:eastAsia="Times New Roman"/>
          <w:rtl/>
          <w:lang w:bidi="ar"/>
        </w:rPr>
      </w:pPr>
      <w:r>
        <w:rPr>
          <w:rFonts w:eastAsia="Times New Roman"/>
          <w:rtl/>
          <w:lang w:bidi="ar"/>
        </w:rPr>
        <w:t>1-8 التعاريف والمفاهيم الأساسية</w:t>
      </w:r>
    </w:p>
    <w:p w14:paraId="75C20C02" w14:textId="77777777" w:rsidR="00D11777" w:rsidRDefault="00D11777">
      <w:pPr>
        <w:pStyle w:val="cap"/>
        <w:bidi/>
        <w:spacing w:line="276" w:lineRule="auto"/>
        <w:rPr>
          <w:rFonts w:ascii="Simplified Arabic" w:hAnsi="Simplified Arabic" w:cs="Simplified Arabic"/>
          <w:rtl/>
          <w:lang w:bidi="ar"/>
        </w:rPr>
      </w:pPr>
      <w:r>
        <w:rPr>
          <w:rFonts w:ascii="Simplified Arabic" w:hAnsi="Simplified Arabic" w:cs="Simplified Arabic"/>
          <w:rtl/>
          <w:lang w:bidi="ar"/>
        </w:rPr>
        <w:t>الجدول (1-2): التعاريف والمفاهيم الأساسية</w:t>
      </w:r>
    </w:p>
    <w:tbl>
      <w:tblPr>
        <w:bidiVisual/>
        <w:tblW w:w="5000" w:type="pct"/>
        <w:tblCellMar>
          <w:top w:w="15" w:type="dxa"/>
          <w:left w:w="15" w:type="dxa"/>
          <w:bottom w:w="15" w:type="dxa"/>
          <w:right w:w="15" w:type="dxa"/>
        </w:tblCellMar>
        <w:tblLook w:val="04A0" w:firstRow="1" w:lastRow="0" w:firstColumn="1" w:lastColumn="0" w:noHBand="0" w:noVBand="1"/>
      </w:tblPr>
      <w:tblGrid>
        <w:gridCol w:w="2523"/>
        <w:gridCol w:w="6487"/>
      </w:tblGrid>
      <w:tr w:rsidR="00AD273F" w14:paraId="25C2FBEF" w14:textId="77777777">
        <w:tc>
          <w:tcPr>
            <w:tcW w:w="1400" w:type="pct"/>
            <w:tcBorders>
              <w:top w:val="single" w:sz="6" w:space="0" w:color="000000"/>
              <w:left w:val="single" w:sz="6" w:space="0" w:color="000000"/>
              <w:bottom w:val="single" w:sz="6" w:space="0" w:color="000000"/>
              <w:right w:val="single" w:sz="6" w:space="0" w:color="000000"/>
            </w:tcBorders>
            <w:shd w:val="clear" w:color="auto" w:fill="D9D9D9"/>
            <w:tcMar>
              <w:top w:w="20" w:type="dxa"/>
              <w:left w:w="80" w:type="dxa"/>
              <w:bottom w:w="20" w:type="dxa"/>
              <w:right w:w="80" w:type="dxa"/>
            </w:tcMar>
            <w:hideMark/>
          </w:tcPr>
          <w:p w14:paraId="30539021"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المصطلح</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20" w:type="dxa"/>
              <w:left w:w="80" w:type="dxa"/>
              <w:bottom w:w="20" w:type="dxa"/>
              <w:right w:w="80" w:type="dxa"/>
            </w:tcMar>
            <w:hideMark/>
          </w:tcPr>
          <w:p w14:paraId="10CD0EF1" w14:textId="77777777" w:rsidR="00D11777" w:rsidRDefault="00D11777">
            <w:pPr>
              <w:bidi/>
              <w:spacing w:before="80" w:after="80"/>
              <w:rPr>
                <w:rFonts w:ascii="Simplified Arabic" w:eastAsia="Times New Roman" w:hAnsi="Simplified Arabic" w:cs="Simplified Arabic"/>
                <w:b/>
                <w:bCs/>
                <w:sz w:val="22"/>
                <w:szCs w:val="22"/>
                <w:rtl/>
              </w:rPr>
            </w:pPr>
            <w:r>
              <w:rPr>
                <w:rFonts w:ascii="Simplified Arabic" w:eastAsia="Times New Roman" w:hAnsi="Simplified Arabic" w:cs="Simplified Arabic"/>
                <w:b/>
                <w:bCs/>
                <w:sz w:val="22"/>
                <w:szCs w:val="22"/>
                <w:rtl/>
              </w:rPr>
              <w:t>التعريف</w:t>
            </w:r>
          </w:p>
        </w:tc>
      </w:tr>
      <w:tr w:rsidR="00AD273F" w14:paraId="2E699F4F"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447C522"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التركيبة (</w:t>
            </w:r>
            <w:r>
              <w:rPr>
                <w:rFonts w:ascii="Simplified Arabic" w:eastAsia="Times New Roman" w:hAnsi="Simplified Arabic" w:cs="Simplified Arabic"/>
                <w:sz w:val="22"/>
                <w:szCs w:val="22"/>
              </w:rPr>
              <w:t>Formula</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06283D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وصفة المنتج التي تحدد مواده ونسبة كل مادة من الكمية الكلية.</w:t>
            </w:r>
          </w:p>
        </w:tc>
      </w:tr>
      <w:tr w:rsidR="00AD273F" w14:paraId="75D1B305"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511745D"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الدفعة (</w:t>
            </w:r>
            <w:r>
              <w:rPr>
                <w:rFonts w:ascii="Simplified Arabic" w:eastAsia="Times New Roman" w:hAnsi="Simplified Arabic" w:cs="Simplified Arabic"/>
                <w:sz w:val="22"/>
                <w:szCs w:val="22"/>
              </w:rPr>
              <w:t>Batch</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9A9E562"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كمية من مادة تدخل المخزون معاً، لها رمز فريد وتاريخ صلاحية وموقع تخزين.</w:t>
            </w:r>
          </w:p>
        </w:tc>
      </w:tr>
      <w:tr w:rsidR="00AD273F" w14:paraId="2D91039B"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8CDBF88"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رقم </w:t>
            </w:r>
            <w:r>
              <w:rPr>
                <w:rFonts w:ascii="Simplified Arabic" w:eastAsia="Times New Roman" w:hAnsi="Simplified Arabic" w:cs="Simplified Arabic"/>
                <w:sz w:val="22"/>
                <w:szCs w:val="22"/>
              </w:rPr>
              <w:t>CAS</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839697F"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رقم تعريفي دولي فريد لكل مادة كيميائية.</w:t>
            </w:r>
          </w:p>
        </w:tc>
      </w:tr>
      <w:tr w:rsidR="00AD273F" w14:paraId="6B19955B"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F441C50"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النظام المنسَّق عالمياً (</w:t>
            </w:r>
            <w:r>
              <w:rPr>
                <w:rFonts w:ascii="Simplified Arabic" w:eastAsia="Times New Roman" w:hAnsi="Simplified Arabic" w:cs="Simplified Arabic"/>
                <w:sz w:val="22"/>
                <w:szCs w:val="22"/>
              </w:rPr>
              <w:t>GHS</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2FEFC15"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نظام أممي لتصنيف المواد الكيميائية حسب خطورتها ووسمها برموز وعبارات موحّدة.</w:t>
            </w:r>
          </w:p>
        </w:tc>
      </w:tr>
      <w:tr w:rsidR="00AD273F" w14:paraId="29E9CF74"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F83BB32"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عبارات الخطر والوقاية (</w:t>
            </w:r>
            <w:r>
              <w:rPr>
                <w:rFonts w:ascii="Simplified Arabic" w:eastAsia="Times New Roman" w:hAnsi="Simplified Arabic" w:cs="Simplified Arabic"/>
                <w:sz w:val="22"/>
                <w:szCs w:val="22"/>
              </w:rPr>
              <w:t>H/P</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BB13FD0"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عبارات موحّدة تصف طبيعة الخطر (</w:t>
            </w:r>
            <w:r>
              <w:rPr>
                <w:rFonts w:ascii="Simplified Arabic" w:eastAsia="Times New Roman" w:hAnsi="Simplified Arabic" w:cs="Simplified Arabic"/>
                <w:sz w:val="22"/>
                <w:szCs w:val="22"/>
              </w:rPr>
              <w:t>H</w:t>
            </w:r>
            <w:r>
              <w:rPr>
                <w:rFonts w:ascii="Simplified Arabic" w:eastAsia="Times New Roman" w:hAnsi="Simplified Arabic" w:cs="Simplified Arabic"/>
                <w:sz w:val="22"/>
                <w:szCs w:val="22"/>
                <w:rtl/>
              </w:rPr>
              <w:t>) والإجراءات الوقائية (</w:t>
            </w:r>
            <w:r>
              <w:rPr>
                <w:rFonts w:ascii="Simplified Arabic" w:eastAsia="Times New Roman" w:hAnsi="Simplified Arabic" w:cs="Simplified Arabic"/>
                <w:sz w:val="22"/>
                <w:szCs w:val="22"/>
              </w:rPr>
              <w:t>P</w:t>
            </w:r>
            <w:r>
              <w:rPr>
                <w:rFonts w:ascii="Simplified Arabic" w:eastAsia="Times New Roman" w:hAnsi="Simplified Arabic" w:cs="Simplified Arabic"/>
                <w:sz w:val="22"/>
                <w:szCs w:val="22"/>
                <w:rtl/>
              </w:rPr>
              <w:t>).</w:t>
            </w:r>
          </w:p>
        </w:tc>
      </w:tr>
      <w:tr w:rsidR="00AD273F" w14:paraId="7BEFEA16"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9C8542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صحيفة بيانات السلامة (</w:t>
            </w:r>
            <w:r>
              <w:rPr>
                <w:rFonts w:ascii="Simplified Arabic" w:eastAsia="Times New Roman" w:hAnsi="Simplified Arabic" w:cs="Simplified Arabic"/>
                <w:sz w:val="22"/>
                <w:szCs w:val="22"/>
              </w:rPr>
              <w:t>SDS</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5515327"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وثيقة من ستة عشر قسماً تتضمن مخاطر المادة وطرق تخزينها والتعامل معها.</w:t>
            </w:r>
          </w:p>
        </w:tc>
      </w:tr>
      <w:tr w:rsidR="00AD273F" w14:paraId="0809369D"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DF455E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lastRenderedPageBreak/>
              <w:t>التعارض الكيميائي</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190B8A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حالة يؤدي فيها خلط مادتين أو تخزينهما معاً إلى تفاعل خطر.</w:t>
            </w:r>
          </w:p>
        </w:tc>
      </w:tr>
      <w:tr w:rsidR="00AD273F" w14:paraId="2857AB66"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480EB3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المجموعة التفاعلية (</w:t>
            </w:r>
            <w:r>
              <w:rPr>
                <w:rFonts w:ascii="Simplified Arabic" w:eastAsia="Times New Roman" w:hAnsi="Simplified Arabic" w:cs="Simplified Arabic"/>
                <w:sz w:val="22"/>
                <w:szCs w:val="22"/>
              </w:rPr>
              <w:t>Reactive Group</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0CD8AEE"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تصنيف للمواد حسب سلوكها الكيميائي يُستخدم للتنبؤ بالتعارض.</w:t>
            </w:r>
          </w:p>
        </w:tc>
      </w:tr>
      <w:tr w:rsidR="00AD273F" w14:paraId="278BF0E5"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65720D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قاعدة </w:t>
            </w:r>
            <w:r>
              <w:rPr>
                <w:rFonts w:ascii="Simplified Arabic" w:eastAsia="Times New Roman" w:hAnsi="Simplified Arabic" w:cs="Simplified Arabic"/>
                <w:sz w:val="22"/>
                <w:szCs w:val="22"/>
              </w:rPr>
              <w:t>FEFO</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79418E6"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صرف الدفعة الأقرب انتهاءً أولاً (</w:t>
            </w:r>
            <w:r>
              <w:rPr>
                <w:rFonts w:ascii="Simplified Arabic" w:eastAsia="Times New Roman" w:hAnsi="Simplified Arabic" w:cs="Simplified Arabic"/>
                <w:sz w:val="22"/>
                <w:szCs w:val="22"/>
              </w:rPr>
              <w:t>First Expired, First Out</w:t>
            </w:r>
            <w:r>
              <w:rPr>
                <w:rFonts w:ascii="Simplified Arabic" w:eastAsia="Times New Roman" w:hAnsi="Simplified Arabic" w:cs="Simplified Arabic"/>
                <w:sz w:val="22"/>
                <w:szCs w:val="22"/>
                <w:rtl/>
              </w:rPr>
              <w:t>).</w:t>
            </w:r>
          </w:p>
        </w:tc>
      </w:tr>
      <w:tr w:rsidR="00AD273F" w14:paraId="4704E045"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EA543A7"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PubChem</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65213BED"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قاعدة بيانات كيميائية عامة ومجانية تابعة للمعاهد الوطنية للصحة الأمريكية.</w:t>
            </w:r>
          </w:p>
        </w:tc>
      </w:tr>
      <w:tr w:rsidR="00AD273F" w14:paraId="76199099"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11C837F"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Pr>
              <w:t>CAMEO Chemicals</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DED5D1A"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 xml:space="preserve">قاعدة بيانات تابعة لـ </w:t>
            </w:r>
            <w:r>
              <w:rPr>
                <w:rFonts w:ascii="Simplified Arabic" w:eastAsia="Times New Roman" w:hAnsi="Simplified Arabic" w:cs="Simplified Arabic"/>
                <w:sz w:val="22"/>
                <w:szCs w:val="22"/>
              </w:rPr>
              <w:t>NOAA</w:t>
            </w:r>
            <w:r>
              <w:rPr>
                <w:rFonts w:ascii="Simplified Arabic" w:eastAsia="Times New Roman" w:hAnsi="Simplified Arabic" w:cs="Simplified Arabic"/>
                <w:sz w:val="22"/>
                <w:szCs w:val="22"/>
                <w:rtl/>
              </w:rPr>
              <w:t xml:space="preserve"> تتنبأ بالتعارض بين المجموعات التفاعلية.</w:t>
            </w:r>
          </w:p>
        </w:tc>
      </w:tr>
      <w:tr w:rsidR="00AD273F" w14:paraId="456A9367"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4DCD3BD6"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تخطيط موارد المؤسسة (</w:t>
            </w:r>
            <w:r>
              <w:rPr>
                <w:rFonts w:ascii="Simplified Arabic" w:eastAsia="Times New Roman" w:hAnsi="Simplified Arabic" w:cs="Simplified Arabic"/>
                <w:sz w:val="22"/>
                <w:szCs w:val="22"/>
              </w:rPr>
              <w:t>ERP</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557D5D21"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نظام متكامل لإدارة المخزون والمشتريات والإنتاج.</w:t>
            </w:r>
          </w:p>
        </w:tc>
      </w:tr>
      <w:tr w:rsidR="00AD273F" w14:paraId="5199CFE3"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24A5BD26"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النموذج اللغوي الكبير (</w:t>
            </w:r>
            <w:r>
              <w:rPr>
                <w:rFonts w:ascii="Simplified Arabic" w:eastAsia="Times New Roman" w:hAnsi="Simplified Arabic" w:cs="Simplified Arabic"/>
                <w:sz w:val="22"/>
                <w:szCs w:val="22"/>
              </w:rPr>
              <w:t>LLM</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5560F6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نموذج ذكاء اصطناعي مدرَّب على كميات ضخمة من النصوص لفهم اللغة وتوليدها.</w:t>
            </w:r>
          </w:p>
        </w:tc>
      </w:tr>
      <w:tr w:rsidR="00AD273F" w14:paraId="2BC18E04"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4C91FC5"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التأسيس على المصادر (</w:t>
            </w:r>
            <w:r>
              <w:rPr>
                <w:rFonts w:ascii="Simplified Arabic" w:eastAsia="Times New Roman" w:hAnsi="Simplified Arabic" w:cs="Simplified Arabic"/>
                <w:sz w:val="22"/>
                <w:szCs w:val="22"/>
              </w:rPr>
              <w:t>Grounding</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02D4760D"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تقييد النموذج اللغوي بالإجابة اعتماداً على بيانات موثوقة تُقدَّم له.</w:t>
            </w:r>
          </w:p>
        </w:tc>
      </w:tr>
      <w:tr w:rsidR="00AD273F" w14:paraId="6DC52B74" w14:textId="77777777">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3B71F943"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التحكم بالوصول حسب الدور (</w:t>
            </w:r>
            <w:r>
              <w:rPr>
                <w:rFonts w:ascii="Simplified Arabic" w:eastAsia="Times New Roman" w:hAnsi="Simplified Arabic" w:cs="Simplified Arabic"/>
                <w:sz w:val="22"/>
                <w:szCs w:val="22"/>
              </w:rPr>
              <w:t>RBAC</w:t>
            </w:r>
            <w:r>
              <w:rPr>
                <w:rFonts w:ascii="Simplified Arabic" w:eastAsia="Times New Roman" w:hAnsi="Simplified Arabic" w:cs="Simplified Arabic"/>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hideMark/>
          </w:tcPr>
          <w:p w14:paraId="1E744699" w14:textId="77777777" w:rsidR="00D11777" w:rsidRDefault="00D11777">
            <w:pPr>
              <w:bidi/>
              <w:spacing w:before="80" w:after="80"/>
              <w:rPr>
                <w:rFonts w:ascii="Simplified Arabic" w:eastAsia="Times New Roman" w:hAnsi="Simplified Arabic" w:cs="Simplified Arabic"/>
                <w:sz w:val="22"/>
                <w:szCs w:val="22"/>
                <w:rtl/>
              </w:rPr>
            </w:pPr>
            <w:r>
              <w:rPr>
                <w:rFonts w:ascii="Simplified Arabic" w:eastAsia="Times New Roman" w:hAnsi="Simplified Arabic" w:cs="Simplified Arabic"/>
                <w:sz w:val="22"/>
                <w:szCs w:val="22"/>
                <w:rtl/>
              </w:rPr>
              <w:t>آلية أمان تحدد العمليات المسموحة لكل مستخدم حسب دوره.</w:t>
            </w:r>
          </w:p>
        </w:tc>
      </w:tr>
    </w:tbl>
    <w:p w14:paraId="4020F31B" w14:textId="77777777" w:rsidR="00D11777" w:rsidRDefault="00D11777">
      <w:pPr>
        <w:pStyle w:val="2"/>
        <w:bidi/>
        <w:spacing w:line="276" w:lineRule="auto"/>
        <w:jc w:val="both"/>
        <w:rPr>
          <w:rFonts w:eastAsia="Times New Roman"/>
          <w:rtl/>
          <w:lang w:bidi="ar"/>
        </w:rPr>
      </w:pPr>
      <w:r>
        <w:rPr>
          <w:rFonts w:eastAsia="Times New Roman"/>
          <w:rtl/>
          <w:lang w:bidi="ar"/>
        </w:rPr>
        <w:t>مراجع الفصل</w:t>
      </w:r>
    </w:p>
    <w:p w14:paraId="4B1B3749" w14:textId="77777777" w:rsidR="00D11777" w:rsidRDefault="00D11777">
      <w:pPr>
        <w:numPr>
          <w:ilvl w:val="0"/>
          <w:numId w:val="7"/>
        </w:numPr>
        <w:spacing w:before="100" w:beforeAutospacing="1" w:after="40" w:line="276" w:lineRule="auto"/>
        <w:rPr>
          <w:rFonts w:eastAsia="Times New Roman"/>
          <w:sz w:val="22"/>
          <w:szCs w:val="22"/>
          <w:rtl/>
          <w:lang w:bidi="ar"/>
        </w:rPr>
      </w:pPr>
      <w:r>
        <w:rPr>
          <w:rFonts w:eastAsia="Times New Roman"/>
          <w:sz w:val="22"/>
          <w:szCs w:val="22"/>
          <w:lang w:bidi="ar"/>
        </w:rPr>
        <w:t>U.S. Chemical Safety Board, "AB Specialty Silicones Explosion and Fire: Executive Summary." [Online]. Available: https://www.csb.gov</w:t>
      </w:r>
    </w:p>
    <w:p w14:paraId="6E24DB9C" w14:textId="77777777" w:rsidR="00D11777" w:rsidRDefault="00D11777">
      <w:pPr>
        <w:numPr>
          <w:ilvl w:val="0"/>
          <w:numId w:val="7"/>
        </w:numPr>
        <w:spacing w:before="100" w:beforeAutospacing="1" w:after="40" w:line="276" w:lineRule="auto"/>
        <w:rPr>
          <w:rFonts w:eastAsia="Times New Roman"/>
          <w:sz w:val="22"/>
          <w:szCs w:val="22"/>
          <w:lang w:bidi="ar"/>
        </w:rPr>
      </w:pPr>
      <w:r>
        <w:rPr>
          <w:rFonts w:eastAsia="Times New Roman"/>
          <w:sz w:val="22"/>
          <w:szCs w:val="22"/>
          <w:lang w:bidi="ar"/>
        </w:rPr>
        <w:t>U.S. Chemical Safety Board, "Final Report into Chemical Release at MGPI Processing," 2018. [Online]. Available: https://www.csb.gov</w:t>
      </w:r>
    </w:p>
    <w:p w14:paraId="1709E5B0" w14:textId="77777777" w:rsidR="00D11777" w:rsidRDefault="00D11777">
      <w:pPr>
        <w:numPr>
          <w:ilvl w:val="0"/>
          <w:numId w:val="7"/>
        </w:numPr>
        <w:spacing w:before="100" w:beforeAutospacing="1" w:after="40" w:line="276" w:lineRule="auto"/>
        <w:rPr>
          <w:rFonts w:eastAsia="Times New Roman"/>
          <w:sz w:val="22"/>
          <w:szCs w:val="22"/>
          <w:lang w:bidi="ar"/>
        </w:rPr>
      </w:pPr>
      <w:r>
        <w:rPr>
          <w:rFonts w:eastAsia="Times New Roman"/>
          <w:sz w:val="22"/>
          <w:szCs w:val="22"/>
          <w:lang w:bidi="ar"/>
        </w:rPr>
        <w:t>J. J. Keller, "CSB report: Mixing incompatible materials led to chemical emergency," Jan. 2018. [Online]. Available: https://www.jjkeller.com</w:t>
      </w:r>
    </w:p>
    <w:p w14:paraId="71BD47B5" w14:textId="77777777" w:rsidR="00D11777" w:rsidRDefault="00D11777">
      <w:pPr>
        <w:numPr>
          <w:ilvl w:val="0"/>
          <w:numId w:val="7"/>
        </w:numPr>
        <w:spacing w:before="100" w:beforeAutospacing="1" w:after="40" w:line="276" w:lineRule="auto"/>
        <w:rPr>
          <w:rFonts w:eastAsia="Times New Roman"/>
          <w:sz w:val="22"/>
          <w:szCs w:val="22"/>
          <w:lang w:bidi="ar"/>
        </w:rPr>
      </w:pPr>
      <w:r>
        <w:rPr>
          <w:rFonts w:eastAsia="Times New Roman"/>
          <w:sz w:val="22"/>
          <w:szCs w:val="22"/>
          <w:lang w:bidi="ar"/>
        </w:rPr>
        <w:t>Maryland Poison Center, "ToxTidbits," May 2020. [Online]. Available: https://mdpoison.com</w:t>
      </w:r>
    </w:p>
    <w:p w14:paraId="0574E27E" w14:textId="77777777" w:rsidR="00D11777" w:rsidRDefault="00D11777">
      <w:pPr>
        <w:numPr>
          <w:ilvl w:val="0"/>
          <w:numId w:val="7"/>
        </w:numPr>
        <w:spacing w:before="100" w:beforeAutospacing="1" w:after="40" w:line="276" w:lineRule="auto"/>
        <w:rPr>
          <w:rFonts w:eastAsia="Times New Roman"/>
          <w:sz w:val="22"/>
          <w:szCs w:val="22"/>
          <w:lang w:bidi="ar"/>
        </w:rPr>
      </w:pPr>
      <w:r>
        <w:rPr>
          <w:rFonts w:eastAsia="Times New Roman"/>
          <w:sz w:val="22"/>
          <w:szCs w:val="22"/>
          <w:lang w:bidi="ar"/>
        </w:rPr>
        <w:t>Zhou et al., "LabSafety Bench: Benchmarking LLMs on Safety Issues in Scientific Labs," Nature Machine Intelligence, 2026, arXiv:2410.14182.</w:t>
      </w:r>
    </w:p>
    <w:p w14:paraId="7021B970" w14:textId="77777777" w:rsidR="00D11777" w:rsidRDefault="00D11777">
      <w:pPr>
        <w:numPr>
          <w:ilvl w:val="0"/>
          <w:numId w:val="7"/>
        </w:numPr>
        <w:spacing w:before="100" w:beforeAutospacing="1" w:after="40" w:line="276" w:lineRule="auto"/>
        <w:rPr>
          <w:rFonts w:eastAsia="Times New Roman"/>
          <w:sz w:val="22"/>
          <w:szCs w:val="22"/>
          <w:lang w:bidi="ar"/>
        </w:rPr>
      </w:pPr>
      <w:r>
        <w:rPr>
          <w:rFonts w:eastAsia="Times New Roman"/>
          <w:sz w:val="22"/>
          <w:szCs w:val="22"/>
          <w:lang w:bidi="ar"/>
        </w:rPr>
        <w:t>Mirza et al., "ChemBench," Nature Chemistry, 2025, doi:10.1038/s41557-025-01815-x.</w:t>
      </w:r>
    </w:p>
    <w:p w14:paraId="58D3EA55" w14:textId="77777777" w:rsidR="00D11777" w:rsidRDefault="00D11777">
      <w:pPr>
        <w:numPr>
          <w:ilvl w:val="0"/>
          <w:numId w:val="7"/>
        </w:numPr>
        <w:spacing w:before="100" w:beforeAutospacing="1" w:after="40" w:line="276" w:lineRule="auto"/>
        <w:rPr>
          <w:rFonts w:eastAsia="Times New Roman"/>
          <w:sz w:val="22"/>
          <w:szCs w:val="22"/>
          <w:lang w:bidi="ar"/>
        </w:rPr>
      </w:pPr>
      <w:r>
        <w:rPr>
          <w:rFonts w:eastAsia="Times New Roman"/>
          <w:sz w:val="22"/>
          <w:szCs w:val="22"/>
          <w:lang w:bidi="ar"/>
        </w:rPr>
        <w:t>Bran et al., "Augmenting large language models with chemistry tools," Nature Machine Intelligence, 2024, doi:10.1038/s42256-024-00832-8.</w:t>
      </w:r>
    </w:p>
    <w:sectPr w:rsidR="00D1177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D613" w14:textId="77777777" w:rsidR="0000168D" w:rsidRDefault="0000168D" w:rsidP="003D0F05">
      <w:r>
        <w:separator/>
      </w:r>
    </w:p>
  </w:endnote>
  <w:endnote w:type="continuationSeparator" w:id="0">
    <w:p w14:paraId="07698EE0" w14:textId="77777777" w:rsidR="0000168D" w:rsidRDefault="0000168D" w:rsidP="003D0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205" w14:textId="77777777" w:rsidR="003D0F05" w:rsidRDefault="003D0F05" w:rsidP="005B3ED6">
    <w:pPr>
      <w:pStyle w:val="a5"/>
      <w:framePr w:wrap="around" w:vAnchor="text" w:hAnchor="margin" w:xAlign="center" w:y="1"/>
      <w:rPr>
        <w:rStyle w:val="a6"/>
      </w:rPr>
    </w:pPr>
    <w:r>
      <w:rPr>
        <w:rStyle w:val="a6"/>
      </w:rPr>
      <w:fldChar w:fldCharType="begin"/>
    </w:r>
    <w:r>
      <w:rPr>
        <w:rStyle w:val="a6"/>
      </w:rPr>
      <w:instrText xml:space="preserve"> PAGE </w:instrText>
    </w:r>
    <w:r>
      <w:rPr>
        <w:rStyle w:val="a6"/>
      </w:rPr>
      <w:fldChar w:fldCharType="separate"/>
    </w:r>
    <w:r>
      <w:rPr>
        <w:rStyle w:val="a6"/>
      </w:rPr>
      <w:fldChar w:fldCharType="end"/>
    </w:r>
  </w:p>
  <w:p w14:paraId="7153E241" w14:textId="77777777" w:rsidR="003D0F05" w:rsidRDefault="003D0F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7CCF" w14:textId="5B7FE45E" w:rsidR="003D0F05" w:rsidRDefault="003D0F05" w:rsidP="005B3ED6">
    <w:pPr>
      <w:pStyle w:val="a5"/>
      <w:framePr w:wrap="around" w:vAnchor="text" w:hAnchor="margin" w:xAlign="center"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5536CC82" w14:textId="77777777" w:rsidR="003D0F05" w:rsidRDefault="003D0F0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75B4" w14:textId="77777777" w:rsidR="003D0F05" w:rsidRDefault="003D0F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E56EE" w14:textId="77777777" w:rsidR="0000168D" w:rsidRDefault="0000168D" w:rsidP="003D0F05">
      <w:r>
        <w:separator/>
      </w:r>
    </w:p>
  </w:footnote>
  <w:footnote w:type="continuationSeparator" w:id="0">
    <w:p w14:paraId="74F1913F" w14:textId="77777777" w:rsidR="0000168D" w:rsidRDefault="0000168D" w:rsidP="003D0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73A6" w14:textId="77777777" w:rsidR="003D0F05" w:rsidRDefault="003D0F0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2EF3" w14:textId="77777777" w:rsidR="003D0F05" w:rsidRDefault="003D0F05">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82B3" w14:textId="77777777" w:rsidR="003D0F05" w:rsidRDefault="003D0F0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1D99"/>
    <w:multiLevelType w:val="multilevel"/>
    <w:tmpl w:val="3B04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D55E99"/>
    <w:multiLevelType w:val="multilevel"/>
    <w:tmpl w:val="CFF4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63DC7"/>
    <w:multiLevelType w:val="multilevel"/>
    <w:tmpl w:val="953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A227A"/>
    <w:multiLevelType w:val="multilevel"/>
    <w:tmpl w:val="262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24870"/>
    <w:multiLevelType w:val="multilevel"/>
    <w:tmpl w:val="897E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2389C"/>
    <w:multiLevelType w:val="multilevel"/>
    <w:tmpl w:val="0FE8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854D5"/>
    <w:multiLevelType w:val="multilevel"/>
    <w:tmpl w:val="58F8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969054">
    <w:abstractNumId w:val="3"/>
  </w:num>
  <w:num w:numId="2" w16cid:durableId="812789711">
    <w:abstractNumId w:val="0"/>
  </w:num>
  <w:num w:numId="3" w16cid:durableId="877818582">
    <w:abstractNumId w:val="5"/>
  </w:num>
  <w:num w:numId="4" w16cid:durableId="1631352285">
    <w:abstractNumId w:val="2"/>
  </w:num>
  <w:num w:numId="5" w16cid:durableId="188883521">
    <w:abstractNumId w:val="4"/>
  </w:num>
  <w:num w:numId="6" w16cid:durableId="903563081">
    <w:abstractNumId w:val="1"/>
  </w:num>
  <w:num w:numId="7" w16cid:durableId="71587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F71"/>
    <w:rsid w:val="0000168D"/>
    <w:rsid w:val="003D0F05"/>
    <w:rsid w:val="005C2F71"/>
    <w:rsid w:val="005D1ED2"/>
    <w:rsid w:val="00AD273F"/>
    <w:rsid w:val="00C3515C"/>
    <w:rsid w:val="00D1177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8B103"/>
  <w15:chartTrackingRefBased/>
  <w15:docId w15:val="{A82E5341-913F-4054-9C76-A6653456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Char"/>
    <w:uiPriority w:val="9"/>
    <w:qFormat/>
    <w:pPr>
      <w:spacing w:after="280"/>
      <w:jc w:val="center"/>
      <w:outlineLvl w:val="0"/>
    </w:pPr>
    <w:rPr>
      <w:rFonts w:ascii="Simplified Arabic" w:hAnsi="Simplified Arabic" w:cs="Simplified Arabic"/>
      <w:b/>
      <w:bCs/>
      <w:color w:val="000000"/>
      <w:kern w:val="36"/>
      <w:sz w:val="36"/>
      <w:szCs w:val="36"/>
    </w:rPr>
  </w:style>
  <w:style w:type="paragraph" w:styleId="2">
    <w:name w:val="heading 2"/>
    <w:basedOn w:val="a"/>
    <w:link w:val="2Char"/>
    <w:uiPriority w:val="9"/>
    <w:qFormat/>
    <w:pPr>
      <w:keepNext/>
      <w:spacing w:before="240" w:after="80"/>
      <w:outlineLvl w:val="1"/>
    </w:pPr>
    <w:rPr>
      <w:rFonts w:ascii="Simplified Arabic" w:hAnsi="Simplified Arabic" w:cs="Simplified Arabic"/>
      <w:b/>
      <w:bCs/>
      <w:color w:val="000000"/>
      <w:sz w:val="32"/>
      <w:szCs w:val="32"/>
    </w:rPr>
  </w:style>
  <w:style w:type="paragraph" w:styleId="3">
    <w:name w:val="heading 3"/>
    <w:basedOn w:val="a"/>
    <w:link w:val="3Char"/>
    <w:uiPriority w:val="9"/>
    <w:qFormat/>
    <w:pPr>
      <w:keepNext/>
      <w:spacing w:before="160" w:after="60"/>
      <w:outlineLvl w:val="2"/>
    </w:pPr>
    <w:rPr>
      <w:rFonts w:ascii="Simplified Arabic" w:hAnsi="Simplified Arabic" w:cs="Simplified Arabic"/>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a"/>
    <w:pPr>
      <w:spacing w:after="120"/>
    </w:pPr>
  </w:style>
  <w:style w:type="paragraph" w:styleId="a3">
    <w:name w:val="Normal (Web)"/>
    <w:basedOn w:val="a"/>
    <w:uiPriority w:val="99"/>
    <w:semiHidden/>
    <w:unhideWhenUsed/>
    <w:pPr>
      <w:spacing w:after="120"/>
    </w:pPr>
  </w:style>
  <w:style w:type="paragraph" w:customStyle="1" w:styleId="cap">
    <w:name w:val="cap"/>
    <w:basedOn w:val="a"/>
    <w:pPr>
      <w:spacing w:before="120" w:after="40"/>
      <w:jc w:val="center"/>
    </w:pPr>
    <w:rPr>
      <w:b/>
      <w:bCs/>
      <w:sz w:val="22"/>
      <w:szCs w:val="22"/>
    </w:rPr>
  </w:style>
  <w:style w:type="paragraph" w:customStyle="1" w:styleId="en">
    <w:name w:val="en"/>
    <w:basedOn w:val="a"/>
    <w:pPr>
      <w:spacing w:before="100" w:beforeAutospacing="1" w:after="40"/>
    </w:pPr>
  </w:style>
  <w:style w:type="character" w:customStyle="1" w:styleId="en1">
    <w:name w:val="en1"/>
    <w:basedOn w:val="a0"/>
    <w:rPr>
      <w:rFonts w:ascii="Times New Roman" w:hAnsi="Times New Roman" w:cs="Times New Roman" w:hint="default"/>
    </w:rPr>
  </w:style>
  <w:style w:type="paragraph" w:styleId="a4">
    <w:name w:val="header"/>
    <w:basedOn w:val="a"/>
    <w:link w:val="Char"/>
    <w:uiPriority w:val="99"/>
    <w:unhideWhenUsed/>
    <w:rsid w:val="003D0F05"/>
    <w:pPr>
      <w:tabs>
        <w:tab w:val="center" w:pos="4513"/>
        <w:tab w:val="right" w:pos="9026"/>
      </w:tabs>
    </w:pPr>
  </w:style>
  <w:style w:type="character" w:customStyle="1" w:styleId="Char">
    <w:name w:val="رأس الصفحة Char"/>
    <w:basedOn w:val="a0"/>
    <w:link w:val="a4"/>
    <w:uiPriority w:val="99"/>
    <w:rsid w:val="003D0F05"/>
    <w:rPr>
      <w:rFonts w:eastAsiaTheme="minorEastAsia"/>
      <w:sz w:val="24"/>
      <w:szCs w:val="24"/>
    </w:rPr>
  </w:style>
  <w:style w:type="paragraph" w:styleId="a5">
    <w:name w:val="footer"/>
    <w:basedOn w:val="a"/>
    <w:link w:val="Char0"/>
    <w:uiPriority w:val="99"/>
    <w:unhideWhenUsed/>
    <w:rsid w:val="003D0F05"/>
    <w:pPr>
      <w:tabs>
        <w:tab w:val="center" w:pos="4513"/>
        <w:tab w:val="right" w:pos="9026"/>
      </w:tabs>
    </w:pPr>
  </w:style>
  <w:style w:type="character" w:customStyle="1" w:styleId="Char0">
    <w:name w:val="تذييل الصفحة Char"/>
    <w:basedOn w:val="a0"/>
    <w:link w:val="a5"/>
    <w:uiPriority w:val="99"/>
    <w:rsid w:val="003D0F05"/>
    <w:rPr>
      <w:rFonts w:eastAsiaTheme="minorEastAsia"/>
      <w:sz w:val="24"/>
      <w:szCs w:val="24"/>
    </w:rPr>
  </w:style>
  <w:style w:type="character" w:styleId="a6">
    <w:name w:val="page number"/>
    <w:basedOn w:val="a0"/>
    <w:uiPriority w:val="99"/>
    <w:semiHidden/>
    <w:unhideWhenUsed/>
    <w:rsid w:val="003D0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1423</Words>
  <Characters>8019</Characters>
  <Application>Microsoft Office Word</Application>
  <DocSecurity>0</DocSecurity>
  <Lines>203</Lines>
  <Paragraphs>147</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الفصل الأول: المقدمة العامة</dc:title>
  <dc:subject/>
  <dc:creator>Hurani i</dc:creator>
  <cp:keywords/>
  <dc:description/>
  <cp:lastModifiedBy>Hurani i</cp:lastModifiedBy>
  <cp:revision>4</cp:revision>
  <cp:lastPrinted>2026-10-28T11:50:00Z</cp:lastPrinted>
  <dcterms:created xsi:type="dcterms:W3CDTF">2026-10-28T11:50:00Z</dcterms:created>
  <dcterms:modified xsi:type="dcterms:W3CDTF">2026-10-28T11:50:00Z</dcterms:modified>
</cp:coreProperties>
</file>