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0"/>
        <w:rPr>
          <w:rFonts w:ascii="Arial" w:eastAsia="Times New Roman" w:hAnsi="Arial" w:cs="Arial"/>
          <w:b/>
          <w:bCs/>
          <w:color w:val="A53E5A"/>
          <w:kern w:val="36"/>
          <w:sz w:val="48"/>
          <w:szCs w:val="48"/>
          <w:lang w:eastAsia="en-GB"/>
          <w14:ligatures w14:val="none"/>
        </w:rPr>
      </w:pPr>
      <w:r w:rsidRPr="00C0714F">
        <w:rPr>
          <w:rFonts w:ascii="Arial" w:eastAsia="Times New Roman" w:hAnsi="Arial" w:cs="Arial"/>
          <w:b/>
          <w:bCs/>
          <w:color w:val="A53E5A"/>
          <w:kern w:val="36"/>
          <w:sz w:val="48"/>
          <w:szCs w:val="48"/>
          <w:lang w:eastAsia="en-GB"/>
          <w14:ligatures w14:val="none"/>
        </w:rPr>
        <w:t>Explainable Deep Learning for Early Alzheimer’s Detection: A Multi-Modal Approach Using Omics, Biometrics, and Cognition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1. Introduction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Overview of Alzheimer's Disease and Its Early Detection Challenges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Alzheimer’s disease (AD) is a complex neurodegenerative disorder characterized by progressive cognitive decline and memory loss, ultimately leading to significant impairment in patients’ daily functioning and quality of life. A hallmark feature of AD is the accumulation of beta-amyloid plaques, tau protein tangles, and hippocampal atrophy, pathological processes that evolve insidiously over many years before clinical symptoms become evident. Early detection of AD is especially challenging largely because these neurological and cognitive anomalies are subtle, progressing slowly, and often overlapping with normal cognitive aging processes. Precise identification during these early stages necessitates the integration of diverse datasets, including high-dimensional brain imaging, cerebrospinal fluid (CSF) biomarkers, and cognitive assessments. However, heterogeneity in disease presentation and the lack of clear physical or biochemical markers complicate early diagnosis efforts, highlighting the need for advanced diagnostic methodologies capable of discerning nuanced patterns within these complex modalities </w:t>
      </w:r>
      <w:hyperlink r:id="rId4" w:anchor="chunk_6178b614a03b35df312b8cb7fd48bff32ccc56f15c3cdc77b52402ab395429d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The imperative of early diagnosis lies in the opportunity it provides for timely intervention aimed at delaying progression, optimizing patient management, and potentially improving survival rates. Conventional diagnostic strategies predominantly involve manual assessments through clinical checkups, cognitive testing, and examination of biochemical markers, but these approaches are often time-consuming, subjective, and lack sensitivity during preclinical or mild cognitive impairment (MCI) stages. Computer-aided diagnostic (CAD) systems and artificial intelligence (AI)-driven methodologies have garnered attention for their ability to analyze large-scale complex data systematically and efficiently, thereby addressing limitations inherent in traditional approaches. The evolving landscape of AI applications in AD research provides a critical impetus for improving the diagnostic yield in early disease phases </w:t>
      </w:r>
      <w:hyperlink r:id="rId5" w:anchor="chunk_dd05db7b80a6a69f340892ebe276313fe6537971c3a395168f83ad2b75a3f51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Moreover, traditional diagnostic frameworks face inherent constraints stemming from reliance on single modalities and subjective interpretation, which hinder their ability to capture the multi-faceted nature of AD. The heterogeneity of patient presentations and multifactorial pathology calls for integrative frameworks that combine multiple data sources, such as neuroimaging, genetic information, biochemical markers, and cognitive evaluations, to holistically characterize the disease state. Artificial intelligence, particularly deep learning, presents an opportunity to leverage this multimodality for automated, accurate, and scalable early diagnosis, effectively overcoming limitations faced by conventional methods </w:t>
      </w:r>
      <w:hyperlink r:id="rId6"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Role of Artificial Intelligence and Deep Learning in AD Diagnosis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 xml:space="preserve">Artificial intelligence techniques, ranging from traditional machine learning (ML) to advanced deep learning (DL) models, have emerged as powerful tools for disease prediction and diagnosis in recent years. Compared to traditional diagnostic methods, AI offers the </w:t>
      </w:r>
      <w:r w:rsidRPr="00C0714F">
        <w:rPr>
          <w:rFonts w:ascii="Arial" w:eastAsia="Times New Roman" w:hAnsi="Arial" w:cs="Arial"/>
          <w:color w:val="2D3748"/>
          <w:kern w:val="0"/>
          <w:sz w:val="22"/>
          <w:szCs w:val="22"/>
          <w:lang w:eastAsia="en-GB"/>
          <w14:ligatures w14:val="none"/>
        </w:rPr>
        <w:lastRenderedPageBreak/>
        <w:t>advantage of processing extensive, high-dimensional data to extract complex features and non-linear relationships that may be imperceptible to conventional statistical models. Machine learning approaches, including support vector machines (SVMs), decision trees, and logistic regression, often provide interpretable results and perform well on smaller datasets due to their simplicity. However, deep learning techniques, especially convolutional neural networks (CNNs), have shown superior capabilities in handling intricate imaging data and integrating heterogeneous inputs for predictive modeling in AD </w:t>
      </w:r>
      <w:hyperlink r:id="rId7" w:anchor="chunk_53eb4843e5f03313a1a2126287b91a229bdc286c387ad323d7cc2141184bf7ac" w:history="1">
        <w:r w:rsidRPr="00C0714F">
          <w:rPr>
            <w:rFonts w:ascii="Arial" w:eastAsia="Times New Roman" w:hAnsi="Arial" w:cs="Arial"/>
            <w:b/>
            <w:bCs/>
            <w:color w:val="A53E5A"/>
            <w:kern w:val="0"/>
            <w:sz w:val="22"/>
            <w:szCs w:val="22"/>
            <w:u w:val="single"/>
            <w:bdr w:val="single" w:sz="2" w:space="0" w:color="E5E7EB" w:frame="1"/>
            <w:lang w:eastAsia="en-GB"/>
            <w14:ligatures w14:val="none"/>
          </w:rPr>
          <w:t>[4]</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Deep learning models have demonstrated exceptional success in analyzing neuroimaging modalities, such as Magnetic Resonance Imaging (MRI) and Positron Emission Tomography (PET), as well as cognitive test scores, facilitating accurate detection of AD even before clinical symptoms emerge. These models leverage hierarchical feature extraction and end-to-end learning architectures to identify patterns associated with disease pathology, achieving remarkable accuracy levels, sometimes nearing perfect classification performance for early stages of AD. Hybrid architectures combining CNNs with temporal models like Long Short-Term Memory (LSTM) networks further enhance performance by modeling temporal-spatial dependencies embedded in sequential imaging or multimodal datasets </w:t>
      </w:r>
      <w:hyperlink r:id="rId8" w:anchor="chunk_6178b614a03b35df312b8cb7fd48bff32ccc56f15c3cdc77b52402ab395429d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Despite these successes, clinical adoption of deep learning models is hindered by challenges related to interpretability and transparency, often referred to as the “black box” problem. Clinicians require understandable and trustworthy explanations of AI predictions to have confidence in automated diagnostic tools. The opaque decision pathways of deep models raise concerns about reliability, safety, and ethical use in real-world clinical workflows. Addressing these interpretability constraints through Explainable Artificial Intelligence (XAI) techniques is imperative to bridge the gap between AI research and clinical practice, improving trust and facilitating informed decision-making </w:t>
      </w:r>
      <w:hyperlink r:id="rId9" w:anchor="chunk_c277b4214d8b879d6d9034986da12ebcdc9fa52729b566771883a58fdd5216f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[5]</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Multimodal Data Integration for Comprehensive Alzheimer's Detection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To capture the complex and multifactorial nature of Alzheimer’s disease, the integration of multimodal data sources is increasingly recognized as a powerful strategy to improve diagnostic accuracy. Neuroimaging modalities such as MRI and PET scans provide structural and functional insights into brain abnormalities, while cognitive tests assess behavioral and functional deterioration associated with AD. Incorporating biochemical biomarkers such as cerebrospinal fluid amyloid and tau proteins enriches the diagnostic framework by adding molecular-level evidence. The convergence of these diverse data streams through AI methodologies enables comprehensive disease profiling that accounts for different dimensions of AD pathology </w:t>
      </w:r>
      <w:hyperlink r:id="rId10"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Emerging research further explores the inclusion of omics data—genomics, transcriptomics, proteomics—and biometric signals, such as speech and physiological measurements, into detection frameworks. The fusion of omics data with imaging and cognitive assessments holds promise for elucidating underlying genetic and molecular mechanisms, capturing early biomarkers, and enhancing predictive modeling. Deep learning techniques adeptly handle this heterogeneous data, enabling synergistic analysis and improving recognition of subtle disease patterns that single modalities may miss </w:t>
      </w:r>
      <w:hyperlink r:id="rId11" w:anchor="chunk_0af6e3aadb2cda930fa7b412bfbb5d72c770f74aa28093f9fceceb20c1fd816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In particular, multimodal AI approaches that integrate MRI, PET, genetic, and clinical data demonstrate significant advancements in early AD diagnosis. These integrated frameworks exploit complementary information, leading to superior classification performance and robustness compared to unimodal models. The incorporation of diverse data sources aligns with precision medicine objectives, fostering personalized diagnostic strategies and tailored therapeutic interventions </w:t>
      </w:r>
      <w:hyperlink r:id="rId12"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lastRenderedPageBreak/>
        <w:t>2. Explainable Artificial Intelligence (XAI) in Alzheimer’s Detection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Necessity of Interpretability in Medical AI Models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Interpretability in medical AI models is critical for ensuring clinical reliability, regulatory compliance, and user trust. The highly accurate but opaque nature of deep learning has generated skepticism regarding their deployment in sensitive domains such as AD diagnosis. The so-called “black box” problem arises because these models, despite impressive predictive power, do not reveal the rationale behind their decisions, impeding clinician validation of outputs. This constitutes a significant barrier to clinical adoption, as healthcare professionals must understand and trust the basis of AI recommendations to responsibly incorporate them into patient care </w:t>
      </w:r>
      <w:hyperlink r:id="rId13" w:anchor="chunk_c277b4214d8b879d6d9034986da12ebcdc9fa52729b566771883a58fdd5216f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[5]</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Explainable AI methodologies serve to democratize model transparency by clarifying how input features contribute to classification outcomes. Tools like Gradient-weighted Class Activation Mapping (Grad-CAM) and Local Interpretable Model-agnostic Explanations (LIME) visualize the spatial regions or features most influential in model decisions, enabling clinical stakeholders to verify consistency with known pathological hallmarks. These insights augment clinician trust, enhance model validation, and facilitate regulatory approvals by providing an accountable and auditable decision-making process </w:t>
      </w:r>
      <w:hyperlink r:id="rId14" w:anchor="chunk_ec4987fa8a15c3ece60819c8915051c1f33237e0a586f5d4388ffdbb2012b5e2" w:history="1">
        <w:r w:rsidRPr="00C0714F">
          <w:rPr>
            <w:rFonts w:ascii="Arial" w:eastAsia="Times New Roman" w:hAnsi="Arial" w:cs="Arial"/>
            <w:b/>
            <w:bCs/>
            <w:color w:val="A53E5A"/>
            <w:kern w:val="0"/>
            <w:sz w:val="22"/>
            <w:szCs w:val="22"/>
            <w:u w:val="single"/>
            <w:bdr w:val="single" w:sz="2" w:space="0" w:color="E5E7EB" w:frame="1"/>
            <w:lang w:eastAsia="en-GB"/>
            <w14:ligatures w14:val="none"/>
          </w:rPr>
          <w:t>[8]</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Furthermore, regulatory agencies and ethical guidelines increasingly mandate explainability for AI systems in healthcare to protect patient safety and promote informed consent. The ethical imperative extends to addressing potential biases and ensuring equitable model behavior across populations. Explainability enhances diagnostic fairness and mitigates unintended harm, ensuring AI-driven tools complement rather than replace clinical judgment, reinforcing the clinician’s role in final decision-making </w:t>
      </w:r>
      <w:hyperlink r:id="rId15"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Overview of XAI Methods Applied to AD Diagnosis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Post-hoc explanation techniques dominate the landscape of explainable AI in AD detection. Grad-CAM leverages gradient signals flowing into the last convolutional layers of CNNs to generate heatmaps that pinpoint brain regions influencing the network’s classification, particularly useful in MRI and PET analyses. Similarly, LIME approximates complex model behaviors locally by perturbing input data to infer feature importance on individual predictions. Shapley Additive exPlanations (SHAP) adopt a game-theoretic approach to quantify each feature’s contribution, offering global and local interpretability in multimodal datasets </w:t>
      </w:r>
      <w:hyperlink r:id="rId16" w:anchor="chunk_8556fdd15303ef818f417f7f512136cf62d65588b58d46d3830e1d7cea64a5da" w:history="1">
        <w:r w:rsidRPr="00C0714F">
          <w:rPr>
            <w:rFonts w:ascii="Arial" w:eastAsia="Times New Roman" w:hAnsi="Arial" w:cs="Arial"/>
            <w:b/>
            <w:bCs/>
            <w:color w:val="A53E5A"/>
            <w:kern w:val="0"/>
            <w:sz w:val="22"/>
            <w:szCs w:val="22"/>
            <w:u w:val="single"/>
            <w:bdr w:val="single" w:sz="2" w:space="0" w:color="E5E7EB" w:frame="1"/>
            <w:lang w:eastAsia="en-GB"/>
            <w14:ligatures w14:val="none"/>
          </w:rPr>
          <w:t>[9]</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Region-based attribution strategies, such as XRAI, extend beyond pixel-level explanations by aggregating gradients into coherent segments or regions within neuroimaging data. XRAI has demonstrated superior anatomical relevance and interpretability compared to traditional saliency maps, aligning well with established clinical knowledge of brain structures implicated in AD. Its successful application to both 2D and 3D neuroimaging modalities highlights its utility for explaining deep learning predictions in brain disease contexts </w:t>
      </w:r>
      <w:hyperlink r:id="rId17" w:anchor="chunk_c277b4214d8b879d6d9034986da12ebcdc9fa52729b566771883a58fdd5216f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[5]</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Visualization tools are indispensable in translating abstract model decisions into clinically actionable insights. Techniques such as Felzenszwalb’s segmentation algorithm, combined with LIME, generate intuitive image segmentations that correspond to diagnostic features recognizable by medical professionals. These visual explanations foster trust by elucidating the specific brain areas or cognitive markers that underpin classification, promoting clinician engagement and adoption of AI systems </w:t>
      </w:r>
      <w:hyperlink r:id="rId18" w:anchor="chunk_0a5dd364bec9a530bd11d7499f9dfb8527ae5630960c4b3e95aee4f414e0b7bb"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[10]</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Evaluation Challenges and Clinical Integration of XAI</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lastRenderedPageBreak/>
        <w:t>Despite progress, the evaluation and integration of XAI into clinical workflows face significant hurdles. Attribution maps produced by current explainability methods often lack consistency, showing variability across techniques and datasets. Moreover, some explanations highlight anatomically irrelevant areas, confounding clinical interpretation and potentially undermining trust. Ensuring that explanations are robust, reproducible, and aligned with neuropathological understanding remains an open research problem </w:t>
      </w:r>
      <w:hyperlink r:id="rId19" w:anchor="chunk_c277b4214d8b879d6d9034986da12ebcdc9fa52729b566771883a58fdd5216f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[5]</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Incorporating XAI-derived insights seamlessly into existing clinical routines is challenged by usability concerns and limited clinician familiarity with AI outputs. Workflow integration requires intuitive interfaces and educational efforts to translate AI explanations into meaningful diagnostic decisions. Acceptance by healthcare professionals depends on the clarity, reliability, and relevance of the explanations provided </w:t>
      </w:r>
      <w:hyperlink r:id="rId20"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Standardizing evaluation metrics for explainability methods is also essential, as heterogeneous assessment protocols and subjective interpretations impede comparative studies and regulatory benchmarking. Metrics that quantify fidelity, stability, and clinical relevance of explanations are necessary to establish best practices and certify AI tools for real-world deployment </w:t>
      </w:r>
      <w:hyperlink r:id="rId21"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3. Deep Learning Architectures for Early AD Detection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Convolutional Neural Networks (CNNs) and Variants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Convolutional Neural Networks (CNNs) are the cornerstone of deep learning applications for AD detection, especially in processing neuroimaging data such as MRI and PET scans. CNNs’ hierarchical structure allows progressive extraction of spatial features from complex images, capturing morphological and pathological brain changes indicative of AD, including hippocampal atrophy and amyloid plaques. Empirically, CNN-based models have achieved accuracies exceeding 95% for early-stage AD classification, outperforming traditional machine learning techniques that rely on manual feature engineering </w:t>
      </w:r>
      <w:hyperlink r:id="rId22" w:anchor="chunk_6178b614a03b35df312b8cb7fd48bff32ccc56f15c3cdc77b52402ab395429d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Hybrid architectures that blend CNNs with Long Short-Term Memory (LSTM) units, such as the combination of VGG16 with CNN-LSTM, enable modeling of temporal-spatial relationships in longitudinal imaging data or sequential cognitive assessments. These hybrids harness the spatial feature extraction of CNNs alongside the temporal memory capabilities of LSTMs, resulting in near-perfect accuracy (~99.95%) in certain datasets. Transfer learning—utilizing pre-trained CNN models fine-tuned on AD-specific data—has further enhanced model robustness and generalization, especially valuable when target datasets are limited or imbalanced </w:t>
      </w:r>
      <w:hyperlink r:id="rId23" w:anchor="chunk_0af6e3aadb2cda930fa7b412bfbb5d72c770f74aa28093f9fceceb20c1fd816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Ensemble and Attention-Based Networks for Improved Accuracy</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Recent advancements demonstrate the utility of ensemble models and attention mechanisms for refining AD detection. Ensemble approaches aggregate predictions from multiple deep learning architectures, mitigating individual model biases and enhancing overall classification performance. For instance, ensembles of 3D vision transformers applied to predefined brain regions have achieved accuracies surpassing 99%, reflecting their superior ability to capture disease-relevant spatiotemporal brain patterns with interpretable outputs </w:t>
      </w:r>
      <w:hyperlink r:id="rId24" w:anchor="chunk_64323c9d88794ac0f6bbe60d365cb18f1cab86d45eb22c510ec0fe7b284dd5b1"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 xml:space="preserve">Attention-based architectures further incorporate self-attention modules that dynamically weigh spatial and feature-level importance, enabling the network to focus on subtle pathological signals within noisy data. Residual-based Attention CNNs (RbACNN) have shown exceptional precision in AD diagnosis by emphasizing critical cortical regions </w:t>
      </w:r>
      <w:r w:rsidRPr="00C0714F">
        <w:rPr>
          <w:rFonts w:ascii="Arial" w:eastAsia="Times New Roman" w:hAnsi="Arial" w:cs="Arial"/>
          <w:color w:val="2D3748"/>
          <w:kern w:val="0"/>
          <w:sz w:val="22"/>
          <w:szCs w:val="22"/>
          <w:lang w:eastAsia="en-GB"/>
          <w14:ligatures w14:val="none"/>
        </w:rPr>
        <w:lastRenderedPageBreak/>
        <w:t>implicated in disease progression. These models provide enhanced interpretability by mapping attention weights to clinically relevant brain areas, aligning AI focus with expert knowledge </w:t>
      </w:r>
      <w:hyperlink r:id="rId25" w:anchor="chunk_6baeb2c0649da87b96b373ae63b4028edd2e5c631ffbeae33c5e744b8fc00d2d"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[12]</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Multi-stage classification pipelines combine deep feature extraction, clustering algorithms such as Enhanced Weighted Fuzzy C-Means, and explainable AI techniques (e.g., Grad-CAM, SHAP, LIME) to refine features and delineate disease progression stages. Such integrative architectures have demonstrated accuracy improvements above 99% on multi-center datasets, showcasing their reliability and potential for clinical adoption </w:t>
      </w:r>
      <w:hyperlink r:id="rId26" w:anchor="chunk_8556fdd15303ef818f417f7f512136cf62d65588b58d46d3830e1d7cea64a5da" w:history="1">
        <w:r w:rsidRPr="00C0714F">
          <w:rPr>
            <w:rFonts w:ascii="Arial" w:eastAsia="Times New Roman" w:hAnsi="Arial" w:cs="Arial"/>
            <w:b/>
            <w:bCs/>
            <w:color w:val="A53E5A"/>
            <w:kern w:val="0"/>
            <w:sz w:val="22"/>
            <w:szCs w:val="22"/>
            <w:u w:val="single"/>
            <w:bdr w:val="single" w:sz="2" w:space="0" w:color="E5E7EB" w:frame="1"/>
            <w:lang w:eastAsia="en-GB"/>
            <w14:ligatures w14:val="none"/>
          </w:rPr>
          <w:t>[9]</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Addressing Class Imbalance and Data Heterogeneity</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One prevalent issue in AD deep learning research is class imbalance, where datasets contain disproportionate numbers of cognitively normal versus AD-positive subjects or uneven representation across disease stages. This imbalance can bias models toward overrepresented classes, degrading sensitivity for early detection. Techniques such as Synthetic Minority Over-sampling Technique (SMOTE) effectively augment minority classes by synthetically generating samples, leading to improved class balance and enhanced model performance </w:t>
      </w:r>
      <w:hyperlink r:id="rId27" w:anchor="chunk_2cc15f68c03353cc74a34c8d3bebb7f63b62eca4a590270f81f1a6d8757ac81f"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Cross-validation strategies and the inclusion of multi-center datasets are critical for establishing model generalizability across diverse populations and imaging protocols. These approaches mitigate overfitting and improve external validity. Employing augmentation and transfer learning further diversifies training samples, allowing models to better capture subtle, early-stage brain changes characteristic of MCI or preclinical AD </w:t>
      </w:r>
      <w:hyperlink r:id="rId28" w:anchor="chunk_8556fdd15303ef818f417f7f512136cf62d65588b58d46d3830e1d7cea64a5da" w:history="1">
        <w:r w:rsidRPr="00C0714F">
          <w:rPr>
            <w:rFonts w:ascii="Arial" w:eastAsia="Times New Roman" w:hAnsi="Arial" w:cs="Arial"/>
            <w:b/>
            <w:bCs/>
            <w:color w:val="A53E5A"/>
            <w:kern w:val="0"/>
            <w:sz w:val="22"/>
            <w:szCs w:val="22"/>
            <w:u w:val="single"/>
            <w:bdr w:val="single" w:sz="2" w:space="0" w:color="E5E7EB" w:frame="1"/>
            <w:lang w:eastAsia="en-GB"/>
            <w14:ligatures w14:val="none"/>
          </w:rPr>
          <w:t>[9]</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Dealing with subtle brain abnormalities—such as minor hippocampal atrophy or nascent amyloid deposition—requires models sensitive enough to detect faint signals while robust to noise. Attention mechanisms and region-focused learning frameworks have been implemented to direct model capacity toward these challenging low-contrast features </w:t>
      </w:r>
      <w:hyperlink r:id="rId29" w:anchor="chunk_ec4987fa8a15c3ece60819c8915051c1f33237e0a586f5d4388ffdbb2012b5e2" w:history="1">
        <w:r w:rsidRPr="00C0714F">
          <w:rPr>
            <w:rFonts w:ascii="Arial" w:eastAsia="Times New Roman" w:hAnsi="Arial" w:cs="Arial"/>
            <w:b/>
            <w:bCs/>
            <w:color w:val="A53E5A"/>
            <w:kern w:val="0"/>
            <w:sz w:val="22"/>
            <w:szCs w:val="22"/>
            <w:u w:val="single"/>
            <w:bdr w:val="single" w:sz="2" w:space="0" w:color="E5E7EB" w:frame="1"/>
            <w:lang w:eastAsia="en-GB"/>
            <w14:ligatures w14:val="none"/>
          </w:rPr>
          <w:t>[8]</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4. Multi-Modal Data Integration Approaches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Neuroimaging Combined with Cognitive Assessments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Combining structural and functional neuroimaging data with cognitive evaluations offers a comprehensive profile of AD pathology and functional disability. MRI and PET imaging provide detailed anatomical and metabolic information, highlighting gray matter loss, beta-amyloid accumulation, and neuroinflammation. When fused with neuropsychological performance metrics—such as memory recall tests and executive function assessments—diagnostic algorithms can correlate brain changes with behavioral manifestations, enhancing predictive accuracy </w:t>
      </w:r>
      <w:hyperlink r:id="rId30"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Studies leveraging cognitive and functional health markers alongside imaging biomarkers demonstrate improved disease staging and patient stratification capabilities. Machine learning models integrating these data reveal nuanced clinical differences, enabling earlier identification of at-risk individuals and tailoring treatment plans accordingly </w:t>
      </w:r>
      <w:hyperlink r:id="rId31" w:anchor="chunk_bb2040f46ec6ed3a791642141c56f40f82a58a279e92e6fff256526ed28c032e"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[14]</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Deep learning frameworks extend this integration by processing raw imaging data simultaneously with cognitive scores, producing unified models that capitalize on complementary modality strengths. Approaches that incorporate longitudinal cognitive monitoring alongside imaging features enable dynamic tracking of disease progression, thus optimally timing interventions </w:t>
      </w:r>
      <w:hyperlink r:id="rId32" w:anchor="chunk_75310645a4fb2acf4cbbe1ec0cab13fa6a315184670393ae6f2cb5a534fb6a6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[15]</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Incorporation of Omics Data in Predictive Models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lastRenderedPageBreak/>
        <w:t>Inclusion of omics modalities—particularly genetic and transcriptomic data—into AD prediction models reflects growing recognition of the disease’s molecular heterogeneity and genetic underpinnings. Genome-wide association studies (GWAS) have identified multiple single nucleotide polymorphisms (SNPs) and genetic loci associated with elevated AD risk. Integrating GWAS results with deep learning models allows for capturing the contribution of genetic variants to disease status, enhancing early diagnosis capabilities </w:t>
      </w:r>
      <w:hyperlink r:id="rId33" w:anchor="chunk_0af6e3aadb2cda930fa7b412bfbb5d72c770f74aa28093f9fceceb20c1fd816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Blood-based biomarker panels encompassing gene expression, metabolite profiles, and inflammatory markers complement neuroimaging and cognitive data by providing accessible, minimally invasive diagnostic tools. These multi-omics panels have been correlated with clinical progression and cognitive impairment severity, emphasizing their predictive utility </w:t>
      </w:r>
      <w:hyperlink r:id="rId34" w:anchor="chunk_9f9f9679f718ab35d308d40d79bebb7d547d1bcd0cc79c9d2b87b3330bd2f370"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Challenges inherent to multi-omics integration include handling data heterogeneity, high dimensionality, and temporal dynamics of disease markers. Computational methods integrating bioinformatics pipelines, feature selection, and dimensionality reduction strategies are critical for constructing effective predictive models from these complex datasets </w:t>
      </w:r>
      <w:hyperlink r:id="rId35" w:anchor="chunk_1473268dfaccdbc5fd149d107b94488aa5b1f4dfadb1f1ad2ac28da98e2f2c02"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Biometric and Physiological Data Utilization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Beyond imaging and omics, biometric signals provide a valuable, non-invasive avenue for AD detection. Speech and acoustic analyses exploit the breakdown of language and communication skills characteristic of cognitive decline. Deep learning models trained on spontaneous speech transcripts or voice recordings extract linguistic and paralinguistic features indicative of early dementia, offering accessible screening modalities suitable for home or clinical settings </w:t>
      </w:r>
      <w:hyperlink r:id="rId36" w:anchor="chunk_e00dfbb157b0d4cfad3c170336d314be20dcaef0ef9a6df87fb0555f00fd4a27"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[18]</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Voice signal processing techniques, including mel-spectrogram-based feature extraction coupled with attention-enhanced CNN architectures, further enable accurate classification of neurodegenerative diseases, such as AD and Parkinson’s disease, through non-invasive auditory biomarkers </w:t>
      </w:r>
      <w:hyperlink r:id="rId37" w:anchor="chunk_94aeecc5c0f29e77ffd9733c06b98bdba0644f42106c301120e8642a13e55df0"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[19]</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Autonomic biomarkers, such as pupillary light reflexes, reflect neurodegenerative impacts on cholinergic and noradrenergic pathways. Although pupillometry findings are variable, specific response patterns have been associated with AD severity, providing an additional physiological dimension to multimodal diagnosis </w:t>
      </w:r>
      <w:hyperlink r:id="rId38" w:anchor="chunk_0acd4195463eb0da22fcf0d5ab982d726cc5866d33184ba4feffb71cdffba48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[20]</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5. Omics Data: Genetics and Molecular Biomarkers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Genetic Risk Factors and Genome-Wide Association Studies (GWAS)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Genetic predisposition plays a pivotal role in AD pathogenesis, with GWAS serving as a foundational approach for identifying risk-associated variants. CNN models trained on GWAS data derived from initiatives such as the Alzheimer’s Disease Neuroimaging Initiative (ADNI) have exploited genetic profiles to predict disease presence and progression with enhanced accuracy. Transfer learning approaches adapt pre-trained CNN architectures to genetic datasets, enabling improved feature extraction and model generalization despite limited cohort sizes </w:t>
      </w:r>
      <w:hyperlink r:id="rId39" w:anchor="chunk_0af6e3aadb2cda930fa7b412bfbb5d72c770f74aa28093f9fceceb20c1fd816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Identification of key SNPs, such as those in CASP9, LCK, and SDC3, has elucidated molecular pathways potentially driving AD progression. These variants, alongside clinical features integrated into constrained deep models, highlight a convergence of genomic and phenotypic risk markers essential for early detection </w:t>
      </w:r>
      <w:hyperlink r:id="rId40" w:anchor="chunk_9f9f9679f718ab35d308d40d79bebb7d547d1bcd0cc79c9d2b87b3330bd2f370"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Transcriptomic and Proteomic Biomarker Discovery</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lastRenderedPageBreak/>
        <w:t>Blood-based gene expression profiling serves as a promising avenue for minimally invasive early AD diagnosis. Transcriptomic signatures encompassing DNA damage response and mitophagy-related pathways have been implicated, providing mechanistic insights and novel biomarker candidates. Integrating metabolomic data with gene expression profiles enhances the discriminative capacity of biomarker panels, reflecting the multifactorial nature of AD pathophysiology </w:t>
      </w:r>
      <w:hyperlink r:id="rId41" w:anchor="chunk_9f9f9679f718ab35d308d40d79bebb7d547d1bcd0cc79c9d2b87b3330bd2f370"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Despite advances, reproducibility challenges persist in the biomarker domain due to cohort heterogeneity, longitudinal variability, and analytical discrepancies. Longitudinal multi-omics studies and large-scale datasets are needed to validate biomarker relevance and capture disease dynamics over time </w:t>
      </w:r>
      <w:hyperlink r:id="rId42" w:anchor="chunk_85c6d0fa0eacce17c989b1220cf88696a69c775c6a7fe38c7290fc6c27bd385d"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Bioinformatics and Systems Biology Approaches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Systems biology and bioinformatics methodologies facilitate the integration and interpretation of vast, heterogeneous omics data, elucidating disease mechanisms underlying neurodegeneration. Data mining techniques, combined with prior biological knowledge, enable identification of molecular networks and pathways implicated in AD. Multi-scale, multimodal frameworks bring together genetic, transcriptomic, proteomic, and clinical data, advancing comprehensive disease models </w:t>
      </w:r>
      <w:hyperlink r:id="rId43" w:anchor="chunk_44724a5af0fd7b201045bc0c11aba7809487862afff7c4bce43c6c975c46559d"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[22]</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Computational pipelines involving machine learning, feature selection, and pathway analysis prioritize candidate biomarkers and support mechanistic discoveries. These integrative strategies are essential to move beyond association toward causal understanding, opening avenues for novel therapeutic targets and personalized diagnostics </w:t>
      </w:r>
      <w:hyperlink r:id="rId44" w:anchor="chunk_9f9f9679f718ab35d308d40d79bebb7d547d1bcd0cc79c9d2b87b3330bd2f370"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[16]</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6. Imaging Biomarkers and MRI/PET Analysis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Structural MRI and Regional Brain Changes in AD</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Structural MRI remains a cornerstone tool in detecting anatomical brain changes associated with AD. Characteristic findings, including hippocampal atrophy and cortical thinning, directly correlate with cognitive decline and disease progression. High-resolution MRI analyses enable quantification of gray matter volume and cerebral blood flow, providing objective biomarkers reflecting neurodegeneration severity </w:t>
      </w:r>
      <w:hyperlink r:id="rId45" w:anchor="chunk_6178b614a03b35df312b8cb7fd48bff32ccc56f15c3cdc77b52402ab395429d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Utilizing region of interest (ROI) segmentation techniques enhances diagnostic accuracy by focusing on predefined brain areas known to be vulnerable in AD. For example, dividing the brain into 138 anatomical sections and analyzing each with 3D vision transformers enhances granularity and classification precision. Such ROI-based approaches facilitate interpretable mapping of pathological changes localized to functionally critical regions </w:t>
      </w:r>
      <w:hyperlink r:id="rId46" w:anchor="chunk_64323c9d88794ac0f6bbe60d365cb18f1cab86d45eb22c510ec0fe7b284dd5b1"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Quantitative assessments linking white matter hyperintensities (WMH) to reductions in gray matter blood flow and volume provide further insight into vascular contributions to cognitive impairment. These imaging markers enrich understanding of disease heterogeneity and patient stratification </w:t>
      </w:r>
      <w:hyperlink r:id="rId47" w:anchor="chunk_f7bcdc064f913b04bfd6d6770fa6d63f3f36f0072f52206f023c3c6f302e528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Functional and Metabolic PET Imaging</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PET imaging offers metabolic and molecular insights into AD pathology, enabling visualization of amyloid and tau protein deposition, neuroinflammation, and receptor alterations. Studies utilizing PET and magnetic resonance spectroscopy (MRS) have demonstrated early neuroinflammatory and cholinergic receptor dysfunction in transgenic AD animal models, elucidating pathophysiological mechanisms that precede overt structural damage </w:t>
      </w:r>
      <w:hyperlink r:id="rId48" w:anchor="chunk_98f24c39e7ea887db2308aefe911d8617a60f1140ee6227d0c1924ae8437575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[24]</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lastRenderedPageBreak/>
        <w:t>Phospho-tau biomarkers measured through tau-PET imaging track disease progression and correlate with cortical thinning and cognitive decline. Stratification of amyloid-positive individuals by phospho-tau levels informs on the temporal cascade of AD pathology and potential windows for intervention </w:t>
      </w:r>
      <w:hyperlink r:id="rId49" w:anchor="chunk_6fef3a2cea4d31e11fc4b6d270cf813be91da57b7da52ca53152e25c333d9b7b"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[25]</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Combining PET with MRI modalities enriches diagnostic frameworks by integrating functional, molecular, and structural information, yielding comprehensive assessments applicable to early detection and differential diagnosis </w:t>
      </w:r>
      <w:hyperlink r:id="rId50"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Explainable AI Applied to Neuroimaging Data</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Explainable AI techniques applied to neuroimaging data, such as Grad-CAM, reveal spatial regions contributing to model predictions, aiding clinicians in evaluating model reliability and aligning outputs with established neuropathology. These methods highlight atrophied hippocampi, cortical regions, and other brain areas relevant in AD classification </w:t>
      </w:r>
      <w:hyperlink r:id="rId51" w:anchor="chunk_ec4987fa8a15c3ece60819c8915051c1f33237e0a586f5d4388ffdbb2012b5e2" w:history="1">
        <w:r w:rsidRPr="00C0714F">
          <w:rPr>
            <w:rFonts w:ascii="Arial" w:eastAsia="Times New Roman" w:hAnsi="Arial" w:cs="Arial"/>
            <w:b/>
            <w:bCs/>
            <w:color w:val="A53E5A"/>
            <w:kern w:val="0"/>
            <w:sz w:val="22"/>
            <w:szCs w:val="22"/>
            <w:u w:val="single"/>
            <w:bdr w:val="single" w:sz="2" w:space="0" w:color="E5E7EB" w:frame="1"/>
            <w:lang w:eastAsia="en-GB"/>
            <w14:ligatures w14:val="none"/>
          </w:rPr>
          <w:t>[8]</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LIME-based visualizations further offer segmented image interpretations, delineating critical structural patterns recognized by domain experts. Such anatomical coherence in model explanations enhances acceptability and clinical integration of AI tools </w:t>
      </w:r>
      <w:hyperlink r:id="rId52" w:anchor="chunk_0a5dd364bec9a530bd11d7499f9dfb8527ae5630960c4b3e95aee4f414e0b7bb"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[10]</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Ultimately, clinically relevant interpretability requires explanations that are consistent, anatomically meaningful, and tailored to healthcare professionals’ needs, ensuring AI complements rather than obscures clinical decision-making </w:t>
      </w:r>
      <w:hyperlink r:id="rId53" w:anchor="chunk_c277b4214d8b879d6d9034986da12ebcdc9fa52729b566771883a58fdd5216f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[5]</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7. Cognitive and Behavioral Biomarkers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Neuropsychological Testing and Cognitive Assessments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Neuropsychological testing remains critical in quantifying cognitive decline and staging AD. Incorporating cognitive scores, such as those from memory, executive function, and daily living activities, into AI models has demonstrated significant improvements in prediction accuracy. Functional health markers contextualize cognitive impairments within patients’ real-world capabilities, thereby enriching diagnostic relevance </w:t>
      </w:r>
      <w:hyperlink r:id="rId54" w:anchor="chunk_bb2040f46ec6ed3a791642141c56f40f82a58a279e92e6fff256526ed28c032e"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[14]</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AI models that longitudinally integrate cognitive and functional assessments enable dynamic tracking of disease status, providing tools for monitoring progression and evaluating treatment efficacy. Such models emphasize early detection, allowing for timely intervention strategies tailored to patient-specific trajectories </w:t>
      </w:r>
      <w:hyperlink r:id="rId55"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Speech and Language Processing Approaches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Language deficits are hallmark symptoms of dementia, and spontaneous speech analysis presents a non-invasive, cost-effective method for early detection. Deep learning models employing CNN-LSTM architectures on linguistic features extracted from conversational transcripts have been explored, revealing potential for binary classification of AD </w:t>
      </w:r>
      <w:hyperlink r:id="rId56" w:anchor="chunk_e00dfbb157b0d4cfad3c170336d314be20dcaef0ef9a6df87fb0555f00fd4a27"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[18]</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Acoustic and bi-modal analyses combining speech with cognitive transcripts improve classification performance, although challenges remain in capturing subtle language impairments inherent to early-stage disease. Integration of advanced natural language processing techniques and larger, diverse datasets will be key to overcoming these hurdles </w:t>
      </w:r>
      <w:hyperlink r:id="rId57" w:anchor="chunk_e00dfbb157b0d4cfad3c170336d314be20dcaef0ef9a6df87fb0555f00fd4a27"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[18]</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Psychosocial and Behavioral Interventions Insights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 xml:space="preserve">Complementary to diagnostic efforts, psychosocial and pharmacological interventions targeting both patients and caregivers have shown modest but significant benefits. Evidence </w:t>
      </w:r>
      <w:r w:rsidRPr="00C0714F">
        <w:rPr>
          <w:rFonts w:ascii="Arial" w:eastAsia="Times New Roman" w:hAnsi="Arial" w:cs="Arial"/>
          <w:color w:val="2D3748"/>
          <w:kern w:val="0"/>
          <w:sz w:val="22"/>
          <w:szCs w:val="22"/>
          <w:lang w:eastAsia="en-GB"/>
          <w14:ligatures w14:val="none"/>
        </w:rPr>
        <w:lastRenderedPageBreak/>
        <w:t>supports that counseling, cognitive stimulation, and multi-modal care can alleviate patient behavioral symptoms, reduce caregiver burden, and delay institutionalization </w:t>
      </w:r>
      <w:hyperlink r:id="rId58" w:anchor="chunk_6c3024751489a5b5d3986df0844545472ecf57994beb21431f1b5857d8f5384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AI-driven feedback systems hold potential to monitor behavioral patterns and personalize intervention strategies, ultimately improving long-term patient management and quality of life. Integrating behavioral data with diagnostic and therapeutic frameworks is an emerging frontier in holistic AD care </w:t>
      </w:r>
      <w:hyperlink r:id="rId59" w:anchor="chunk_6c3024751489a5b5d3986df0844545472ecf57994beb21431f1b5857d8f5384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[26]</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8. Federated Learning and Privacy-Preserving Methods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Importance of Privacy in Multi-Institutional AD Data Sharing</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The sensitivity of patient data and ethical considerations pose substantial barriers to centralized pooling of neuroimaging, omics, and clinical records necessary for training robust AI models. Federated Learning (FL) frameworks address these concerns by enabling collaborative model training across multiple institutions without sharing raw data, preserving privacy while leveraging distributed datasets </w:t>
      </w:r>
      <w:hyperlink r:id="rId60"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However, challenges such as data heterogeneity, disparities in sample sizes, and communication inefficiencies must be addressed to realize FL’s full potential in medical AI. Maintaining model performance and generalizability across sites with distinct populations and protocols remain key research foci </w:t>
      </w:r>
      <w:hyperlink r:id="rId61"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FedNeuroX and Multi-Modal Federated Infrastructure</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FedNeuroX represents a cutting-edge multi-modal federated learning infrastructure designed for early and differential diagnosis of neurodegenerative diseases including AD. This system integrates MRI, PET, and electronic health record (EHR) data within a decentralized training paradigm, ensuring robust model convergence while respecting data privacy and security requirements </w:t>
      </w:r>
      <w:hyperlink r:id="rId62"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Explainability is embedded within the federated setup, enhancing clinical confidence in distributed AI tools. Experimental evaluation on the Open Access Series of Imaging Studies (OASIS-3) dataset demonstrates superior diagnostic accuracy and generalizability, validating FedNeuroX’s applicability across diverse clinical settings </w:t>
      </w:r>
      <w:hyperlink r:id="rId63"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Future Directions and Scalability Challenges for FL in AD Diagnosis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after="240"/>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Scaling federated systems to larger networks involves overcoming heterogeneity in data distributions, optimizing communication protocols to reduce latency, and ensuring convergence stability. Addressing these technological challenges alongside regulatory and ethical frameworks will be crucial for translation into clinical practice.</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Continued innovation in privacy-preserving techniques, coupled with explainable AI, promises to facilitate multi-center collaborations essential for generating large, diverse training datasets and democratizing access to AI-enabled AD diagnostics </w:t>
      </w:r>
      <w:hyperlink r:id="rId64"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9. Challenges, Limitations, and Research Gaps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Data Limitations: Size, Diversity, and Annotation Quality</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lastRenderedPageBreak/>
        <w:t>Effective training of AI models for early AD detection demands large volumes of high-quality, well-annotated data encompassing diverse populations. However, availability of such datasets remains limited. Models trained on Western-centric cohorts may lack generalizability to global populations, risking biased outcomes. Class imbalance, particularly underrepresentation of early-stage or minority cases, further impairs model learning and evaluation </w:t>
      </w:r>
      <w:hyperlink r:id="rId65" w:anchor="chunk_6178b614a03b35df312b8cb7fd48bff32ccc56f15c3cdc77b52402ab395429d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Efforts to curate diverse, standardized datasets and apply augmentation methods like SMOTE are mitigating these issues, but challenges persist in balancing inclusivity with data quality and representativeness </w:t>
      </w:r>
      <w:hyperlink r:id="rId66"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Model Interpretability and Clinical Translatability</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after="240"/>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Current post-hoc explainability methods sometimes produce inconsistent or anatomically irrelevant attributions, limiting clinical utility. Bridging the gap between technical AI explanations and clinician-understandable reasoning is essential to foster trust and integration into medical workflows.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Implementing AI tools in busy clinical environments demands simplicity, transparency, and seamless interoperability. Clinician education and interface design are key to enhancing practitioner acceptance and facilitating informed use of AI-generated insights </w:t>
      </w:r>
      <w:hyperlink r:id="rId67"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Ethical Considerations and Data Privacy Concerns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after="240"/>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The collection and use of sensitive omics, biometric, and clinical data raise concerns regarding informed consent, data security, and potential misuse. Ethical governance is imperative to safeguard patient rights and ensure fair, unbiased AI decision-making.</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Frameworks addressing transparency, accountability, and bias mitigation must be incorporated from model development through deployment, aligning with evolving regulatory standards and public trust expectations </w:t>
      </w:r>
      <w:hyperlink r:id="rId68" w:anchor="chunk_10cd50b550e4550b4487231dd53a818ae381104df0567c732e6bbc72fd5927d8" w:history="1">
        <w:r w:rsidRPr="00C0714F">
          <w:rPr>
            <w:rFonts w:ascii="Arial" w:eastAsia="Times New Roman" w:hAnsi="Arial" w:cs="Arial"/>
            <w:b/>
            <w:bCs/>
            <w:color w:val="A53E5A"/>
            <w:kern w:val="0"/>
            <w:sz w:val="22"/>
            <w:szCs w:val="22"/>
            <w:u w:val="single"/>
            <w:bdr w:val="single" w:sz="2" w:space="0" w:color="E5E7EB" w:frame="1"/>
            <w:lang w:eastAsia="en-GB"/>
            <w14:ligatures w14:val="none"/>
          </w:rPr>
          <w:t>[3]</w:t>
        </w:r>
      </w:hyperlink>
      <w:r w:rsidRPr="00C0714F">
        <w:rPr>
          <w:rFonts w:ascii="Arial" w:eastAsia="Times New Roman" w:hAnsi="Arial" w:cs="Arial"/>
          <w:color w:val="2D3748"/>
          <w:kern w:val="0"/>
          <w:sz w:val="22"/>
          <w:szCs w:val="22"/>
          <w:lang w:eastAsia="en-GB"/>
          <w14:ligatures w14:val="none"/>
        </w:rPr>
        <w:t>.</w:t>
      </w:r>
    </w:p>
    <w:p w:rsidR="00C0714F" w:rsidRPr="00C0714F" w:rsidRDefault="00DB5BC1" w:rsidP="00C0714F">
      <w:pPr>
        <w:rPr>
          <w:rFonts w:ascii="Times New Roman" w:eastAsia="Times New Roman" w:hAnsi="Times New Roman" w:cs="Times New Roman"/>
          <w:kern w:val="0"/>
          <w:lang w:eastAsia="en-GB"/>
          <w14:ligatures w14:val="none"/>
        </w:rPr>
      </w:pPr>
      <w:r w:rsidRPr="00DB5BC1">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noshade="t" o:hr="t" fillcolor="#2d3748" stroked="f"/>
        </w:pic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1"/>
        <w:rPr>
          <w:rFonts w:ascii="Arial" w:eastAsia="Times New Roman" w:hAnsi="Arial" w:cs="Arial"/>
          <w:b/>
          <w:bCs/>
          <w:color w:val="A53E5A"/>
          <w:kern w:val="0"/>
          <w:sz w:val="36"/>
          <w:szCs w:val="36"/>
          <w:lang w:eastAsia="en-GB"/>
          <w14:ligatures w14:val="none"/>
        </w:rPr>
      </w:pPr>
      <w:r w:rsidRPr="00C0714F">
        <w:rPr>
          <w:rFonts w:ascii="Arial" w:eastAsia="Times New Roman" w:hAnsi="Arial" w:cs="Arial"/>
          <w:b/>
          <w:bCs/>
          <w:color w:val="A53E5A"/>
          <w:kern w:val="0"/>
          <w:sz w:val="36"/>
          <w:szCs w:val="36"/>
          <w:lang w:eastAsia="en-GB"/>
          <w14:ligatures w14:val="none"/>
        </w:rPr>
        <w:t>10. Future Perspectives and Conclusion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Advances in Explainable Multi-Modal Deep Learning for AD Detection</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Future directions emphasize continued integration of omics data with advanced deep learning architectures incorporating attention mechanisms and hybrid models that synergistically combine imaging, cognition, and genomic information. These innovations promise enhanced diagnostic accuracy, interpretability, and personalized risk stratification </w:t>
      </w:r>
      <w:hyperlink r:id="rId69" w:anchor="chunk_0af6e3aadb2cda930fa7b412bfbb5d72c770f74aa28093f9fceceb20c1fd8163" w:history="1">
        <w:r w:rsidRPr="00C0714F">
          <w:rPr>
            <w:rFonts w:ascii="Arial" w:eastAsia="Times New Roman" w:hAnsi="Arial" w:cs="Arial"/>
            <w:b/>
            <w:bCs/>
            <w:color w:val="A53E5A"/>
            <w:kern w:val="0"/>
            <w:sz w:val="22"/>
            <w:szCs w:val="22"/>
            <w:u w:val="single"/>
            <w:bdr w:val="single" w:sz="2" w:space="0" w:color="E5E7EB" w:frame="1"/>
            <w:lang w:eastAsia="en-GB"/>
            <w14:ligatures w14:val="none"/>
          </w:rPr>
          <w:t>[6]</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Novel deep architectures leveraging self-attention, residual connections, and ensemble methods will further refine disease characterization and early detection capabilities, addressing the complex temporal-spatial dynamics of AD </w:t>
      </w:r>
      <w:hyperlink r:id="rId70" w:anchor="chunk_6baeb2c0649da87b96b373ae63b4028edd2e5c631ffbeae33c5e744b8fc00d2d" w:history="1">
        <w:r w:rsidRPr="00C0714F">
          <w:rPr>
            <w:rFonts w:ascii="Arial" w:eastAsia="Times New Roman" w:hAnsi="Arial" w:cs="Arial"/>
            <w:b/>
            <w:bCs/>
            <w:color w:val="A53E5A"/>
            <w:kern w:val="0"/>
            <w:sz w:val="22"/>
            <w:szCs w:val="22"/>
            <w:u w:val="single"/>
            <w:bdr w:val="single" w:sz="2" w:space="0" w:color="E5E7EB" w:frame="1"/>
            <w:lang w:eastAsia="en-GB"/>
            <w14:ligatures w14:val="none"/>
          </w:rPr>
          <w:t>[12]</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Steps Towards Clinical Translation and Real-World Deployment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after="240"/>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Standardized evaluation metrics for accuracy, explainability, and clinical relevance are necessary to facilitate regulatory approvals and benchmark progress. Tailored explainability tools designed for clinician interaction will foster adoption by answering domain-specific interpretability needs.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lastRenderedPageBreak/>
        <w:t>Collaborative initiatives focused on multi-center data sharing through privacy-preserving federated learning frameworks will be instrumental in overcoming current data limitations and scaling AI diagnostic tools </w:t>
      </w:r>
      <w:hyperlink r:id="rId71" w:anchor="chunk_1314c0f262ee3721155a3dd3a1e601e5739c9f2c68fdbb161dfc9cd4a069ec34" w:history="1">
        <w:r w:rsidRPr="00C0714F">
          <w:rPr>
            <w:rFonts w:ascii="Arial" w:eastAsia="Times New Roman" w:hAnsi="Arial" w:cs="Arial"/>
            <w:b/>
            <w:bCs/>
            <w:color w:val="A53E5A"/>
            <w:kern w:val="0"/>
            <w:sz w:val="22"/>
            <w:szCs w:val="22"/>
            <w:u w:val="single"/>
            <w:bdr w:val="single" w:sz="2" w:space="0" w:color="E5E7EB" w:frame="1"/>
            <w:lang w:eastAsia="en-GB"/>
            <w14:ligatures w14:val="none"/>
          </w:rPr>
          <w:t>[7]</w:t>
        </w:r>
      </w:hyperlink>
      <w:r w:rsidRPr="00C0714F">
        <w:rPr>
          <w:rFonts w:ascii="Arial" w:eastAsia="Times New Roman" w:hAnsi="Arial" w:cs="Arial"/>
          <w:color w:val="2D3748"/>
          <w:kern w:val="0"/>
          <w:sz w:val="22"/>
          <w:szCs w:val="22"/>
          <w:lang w:eastAsia="en-GB"/>
          <w14:ligatures w14:val="none"/>
        </w:rPr>
        <w:t>.</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before="360" w:after="120"/>
        <w:outlineLvl w:val="2"/>
        <w:rPr>
          <w:rFonts w:ascii="Arial" w:eastAsia="Times New Roman" w:hAnsi="Arial" w:cs="Arial"/>
          <w:b/>
          <w:bCs/>
          <w:color w:val="A53E5A"/>
          <w:kern w:val="0"/>
          <w:sz w:val="27"/>
          <w:szCs w:val="27"/>
          <w:lang w:eastAsia="en-GB"/>
          <w14:ligatures w14:val="none"/>
        </w:rPr>
      </w:pPr>
      <w:r w:rsidRPr="00C0714F">
        <w:rPr>
          <w:rFonts w:ascii="Arial" w:eastAsia="Times New Roman" w:hAnsi="Arial" w:cs="Arial"/>
          <w:b/>
          <w:bCs/>
          <w:color w:val="A53E5A"/>
          <w:kern w:val="0"/>
          <w:sz w:val="27"/>
          <w:szCs w:val="27"/>
          <w:lang w:eastAsia="en-GB"/>
          <w14:ligatures w14:val="none"/>
        </w:rPr>
        <w:t>Final Reflections on Bridging Research and Practice to Improve AD Patient Outcomes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after="240"/>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Realizing the full potential of explainable deep learning for early AD detection demands a multidisciplinary approach combining expertise in AI, neurobiology, and clinical sciences. Addressing challenges related to data diversity, interpretability, ethics, and workflow integration is urgent to transition from promising research to actionable clinical tools.</w:t>
      </w:r>
    </w:p>
    <w:p w:rsidR="00C0714F" w:rsidRPr="00C0714F" w:rsidRDefault="00C0714F" w:rsidP="00C0714F">
      <w:pPr>
        <w:pBdr>
          <w:top w:val="single" w:sz="2" w:space="0" w:color="E5E7EB"/>
          <w:left w:val="single" w:sz="2" w:space="0" w:color="E5E7EB"/>
          <w:bottom w:val="single" w:sz="2" w:space="0" w:color="E5E7EB"/>
          <w:right w:val="single" w:sz="2" w:space="0" w:color="E5E7EB"/>
        </w:pBdr>
        <w:shd w:val="clear" w:color="auto" w:fill="FFFFFF"/>
        <w:spacing w:after="240"/>
        <w:rPr>
          <w:rFonts w:ascii="Arial" w:eastAsia="Times New Roman" w:hAnsi="Arial" w:cs="Arial"/>
          <w:color w:val="2D3748"/>
          <w:kern w:val="0"/>
          <w:sz w:val="22"/>
          <w:szCs w:val="22"/>
          <w:lang w:eastAsia="en-GB"/>
          <w14:ligatures w14:val="none"/>
        </w:rPr>
      </w:pPr>
      <w:r w:rsidRPr="00C0714F">
        <w:rPr>
          <w:rFonts w:ascii="Arial" w:eastAsia="Times New Roman" w:hAnsi="Arial" w:cs="Arial"/>
          <w:color w:val="2D3748"/>
          <w:kern w:val="0"/>
          <w:sz w:val="22"/>
          <w:szCs w:val="22"/>
          <w:lang w:eastAsia="en-GB"/>
          <w14:ligatures w14:val="none"/>
        </w:rPr>
        <w:t>The vision of personalized, early-stage Alzheimer’s diagnosis and monitoring hinges on this cross-disciplinary collaboration, promising to transform patient care, optimize interventions, and ultimately reduce the global societal burden of Alzheimer’s disease.</w:t>
      </w:r>
    </w:p>
    <w:p w:rsidR="00174792" w:rsidRPr="00C0714F" w:rsidRDefault="00174792" w:rsidP="00C0714F"/>
    <w:sectPr w:rsidR="00174792" w:rsidRPr="00C07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4F"/>
    <w:rsid w:val="000D713B"/>
    <w:rsid w:val="00174792"/>
    <w:rsid w:val="0020257D"/>
    <w:rsid w:val="00312C1C"/>
    <w:rsid w:val="006C453A"/>
    <w:rsid w:val="00BA0974"/>
    <w:rsid w:val="00BC6FFF"/>
    <w:rsid w:val="00C0714F"/>
    <w:rsid w:val="00D20B80"/>
    <w:rsid w:val="00DB5BC1"/>
    <w:rsid w:val="00FF364B"/>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2338B8-E0AC-B846-A4C4-885E5BD9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714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C0714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0714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4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C0714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0714F"/>
    <w:rPr>
      <w:rFonts w:ascii="Times New Roman" w:eastAsia="Times New Roman" w:hAnsi="Times New Roman" w:cs="Times New Roman"/>
      <w:b/>
      <w:bCs/>
      <w:kern w:val="0"/>
      <w:sz w:val="27"/>
      <w:szCs w:val="27"/>
      <w:lang w:eastAsia="en-GB"/>
      <w14:ligatures w14:val="none"/>
    </w:rPr>
  </w:style>
  <w:style w:type="paragraph" w:customStyle="1" w:styleId="mb-4">
    <w:name w:val="mb-4"/>
    <w:basedOn w:val="Normal"/>
    <w:rsid w:val="00C071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C071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0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answerthis.io/answer/a4f88d5f6d63c58e" TargetMode="External"/><Relationship Id="rId21" Type="http://schemas.openxmlformats.org/officeDocument/2006/relationships/hyperlink" Target="https://app.answerthis.io/answer/a4f88d5f6d63c58e" TargetMode="External"/><Relationship Id="rId42" Type="http://schemas.openxmlformats.org/officeDocument/2006/relationships/hyperlink" Target="https://app.answerthis.io/answer/a4f88d5f6d63c58e" TargetMode="External"/><Relationship Id="rId47" Type="http://schemas.openxmlformats.org/officeDocument/2006/relationships/hyperlink" Target="https://app.answerthis.io/answer/a4f88d5f6d63c58e" TargetMode="External"/><Relationship Id="rId63" Type="http://schemas.openxmlformats.org/officeDocument/2006/relationships/hyperlink" Target="https://app.answerthis.io/answer/a4f88d5f6d63c58e" TargetMode="External"/><Relationship Id="rId68" Type="http://schemas.openxmlformats.org/officeDocument/2006/relationships/hyperlink" Target="https://app.answerthis.io/answer/a4f88d5f6d63c58e" TargetMode="External"/><Relationship Id="rId2" Type="http://schemas.openxmlformats.org/officeDocument/2006/relationships/settings" Target="settings.xml"/><Relationship Id="rId16" Type="http://schemas.openxmlformats.org/officeDocument/2006/relationships/hyperlink" Target="https://app.answerthis.io/answer/a4f88d5f6d63c58e" TargetMode="External"/><Relationship Id="rId29" Type="http://schemas.openxmlformats.org/officeDocument/2006/relationships/hyperlink" Target="https://app.answerthis.io/answer/a4f88d5f6d63c58e" TargetMode="External"/><Relationship Id="rId11" Type="http://schemas.openxmlformats.org/officeDocument/2006/relationships/hyperlink" Target="https://app.answerthis.io/answer/a4f88d5f6d63c58e" TargetMode="External"/><Relationship Id="rId24" Type="http://schemas.openxmlformats.org/officeDocument/2006/relationships/hyperlink" Target="https://app.answerthis.io/answer/a4f88d5f6d63c58e" TargetMode="External"/><Relationship Id="rId32" Type="http://schemas.openxmlformats.org/officeDocument/2006/relationships/hyperlink" Target="https://app.answerthis.io/answer/a4f88d5f6d63c58e" TargetMode="External"/><Relationship Id="rId37" Type="http://schemas.openxmlformats.org/officeDocument/2006/relationships/hyperlink" Target="https://app.answerthis.io/answer/a4f88d5f6d63c58e" TargetMode="External"/><Relationship Id="rId40" Type="http://schemas.openxmlformats.org/officeDocument/2006/relationships/hyperlink" Target="https://app.answerthis.io/answer/a4f88d5f6d63c58e" TargetMode="External"/><Relationship Id="rId45" Type="http://schemas.openxmlformats.org/officeDocument/2006/relationships/hyperlink" Target="https://app.answerthis.io/answer/a4f88d5f6d63c58e" TargetMode="External"/><Relationship Id="rId53" Type="http://schemas.openxmlformats.org/officeDocument/2006/relationships/hyperlink" Target="https://app.answerthis.io/answer/a4f88d5f6d63c58e" TargetMode="External"/><Relationship Id="rId58" Type="http://schemas.openxmlformats.org/officeDocument/2006/relationships/hyperlink" Target="https://app.answerthis.io/answer/a4f88d5f6d63c58e" TargetMode="External"/><Relationship Id="rId66" Type="http://schemas.openxmlformats.org/officeDocument/2006/relationships/hyperlink" Target="https://app.answerthis.io/answer/a4f88d5f6d63c58e" TargetMode="External"/><Relationship Id="rId5" Type="http://schemas.openxmlformats.org/officeDocument/2006/relationships/hyperlink" Target="https://app.answerthis.io/answer/a4f88d5f6d63c58e" TargetMode="External"/><Relationship Id="rId61" Type="http://schemas.openxmlformats.org/officeDocument/2006/relationships/hyperlink" Target="https://app.answerthis.io/answer/a4f88d5f6d63c58e" TargetMode="External"/><Relationship Id="rId19" Type="http://schemas.openxmlformats.org/officeDocument/2006/relationships/hyperlink" Target="https://app.answerthis.io/answer/a4f88d5f6d63c58e" TargetMode="External"/><Relationship Id="rId14" Type="http://schemas.openxmlformats.org/officeDocument/2006/relationships/hyperlink" Target="https://app.answerthis.io/answer/a4f88d5f6d63c58e" TargetMode="External"/><Relationship Id="rId22" Type="http://schemas.openxmlformats.org/officeDocument/2006/relationships/hyperlink" Target="https://app.answerthis.io/answer/a4f88d5f6d63c58e" TargetMode="External"/><Relationship Id="rId27" Type="http://schemas.openxmlformats.org/officeDocument/2006/relationships/hyperlink" Target="https://app.answerthis.io/answer/a4f88d5f6d63c58e" TargetMode="External"/><Relationship Id="rId30" Type="http://schemas.openxmlformats.org/officeDocument/2006/relationships/hyperlink" Target="https://app.answerthis.io/answer/a4f88d5f6d63c58e" TargetMode="External"/><Relationship Id="rId35" Type="http://schemas.openxmlformats.org/officeDocument/2006/relationships/hyperlink" Target="https://app.answerthis.io/answer/a4f88d5f6d63c58e" TargetMode="External"/><Relationship Id="rId43" Type="http://schemas.openxmlformats.org/officeDocument/2006/relationships/hyperlink" Target="https://app.answerthis.io/answer/a4f88d5f6d63c58e" TargetMode="External"/><Relationship Id="rId48" Type="http://schemas.openxmlformats.org/officeDocument/2006/relationships/hyperlink" Target="https://app.answerthis.io/answer/a4f88d5f6d63c58e" TargetMode="External"/><Relationship Id="rId56" Type="http://schemas.openxmlformats.org/officeDocument/2006/relationships/hyperlink" Target="https://app.answerthis.io/answer/a4f88d5f6d63c58e" TargetMode="External"/><Relationship Id="rId64" Type="http://schemas.openxmlformats.org/officeDocument/2006/relationships/hyperlink" Target="https://app.answerthis.io/answer/a4f88d5f6d63c58e" TargetMode="External"/><Relationship Id="rId69" Type="http://schemas.openxmlformats.org/officeDocument/2006/relationships/hyperlink" Target="https://app.answerthis.io/answer/a4f88d5f6d63c58e" TargetMode="External"/><Relationship Id="rId8" Type="http://schemas.openxmlformats.org/officeDocument/2006/relationships/hyperlink" Target="https://app.answerthis.io/answer/a4f88d5f6d63c58e" TargetMode="External"/><Relationship Id="rId51" Type="http://schemas.openxmlformats.org/officeDocument/2006/relationships/hyperlink" Target="https://app.answerthis.io/answer/a4f88d5f6d63c58e"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app.answerthis.io/answer/a4f88d5f6d63c58e" TargetMode="External"/><Relationship Id="rId17" Type="http://schemas.openxmlformats.org/officeDocument/2006/relationships/hyperlink" Target="https://app.answerthis.io/answer/a4f88d5f6d63c58e" TargetMode="External"/><Relationship Id="rId25" Type="http://schemas.openxmlformats.org/officeDocument/2006/relationships/hyperlink" Target="https://app.answerthis.io/answer/a4f88d5f6d63c58e" TargetMode="External"/><Relationship Id="rId33" Type="http://schemas.openxmlformats.org/officeDocument/2006/relationships/hyperlink" Target="https://app.answerthis.io/answer/a4f88d5f6d63c58e" TargetMode="External"/><Relationship Id="rId38" Type="http://schemas.openxmlformats.org/officeDocument/2006/relationships/hyperlink" Target="https://app.answerthis.io/answer/a4f88d5f6d63c58e" TargetMode="External"/><Relationship Id="rId46" Type="http://schemas.openxmlformats.org/officeDocument/2006/relationships/hyperlink" Target="https://app.answerthis.io/answer/a4f88d5f6d63c58e" TargetMode="External"/><Relationship Id="rId59" Type="http://schemas.openxmlformats.org/officeDocument/2006/relationships/hyperlink" Target="https://app.answerthis.io/answer/a4f88d5f6d63c58e" TargetMode="External"/><Relationship Id="rId67" Type="http://schemas.openxmlformats.org/officeDocument/2006/relationships/hyperlink" Target="https://app.answerthis.io/answer/a4f88d5f6d63c58e" TargetMode="External"/><Relationship Id="rId20" Type="http://schemas.openxmlformats.org/officeDocument/2006/relationships/hyperlink" Target="https://app.answerthis.io/answer/a4f88d5f6d63c58e" TargetMode="External"/><Relationship Id="rId41" Type="http://schemas.openxmlformats.org/officeDocument/2006/relationships/hyperlink" Target="https://app.answerthis.io/answer/a4f88d5f6d63c58e" TargetMode="External"/><Relationship Id="rId54" Type="http://schemas.openxmlformats.org/officeDocument/2006/relationships/hyperlink" Target="https://app.answerthis.io/answer/a4f88d5f6d63c58e" TargetMode="External"/><Relationship Id="rId62" Type="http://schemas.openxmlformats.org/officeDocument/2006/relationships/hyperlink" Target="https://app.answerthis.io/answer/a4f88d5f6d63c58e" TargetMode="External"/><Relationship Id="rId70" Type="http://schemas.openxmlformats.org/officeDocument/2006/relationships/hyperlink" Target="https://app.answerthis.io/answer/a4f88d5f6d63c58e" TargetMode="External"/><Relationship Id="rId1" Type="http://schemas.openxmlformats.org/officeDocument/2006/relationships/styles" Target="styles.xml"/><Relationship Id="rId6" Type="http://schemas.openxmlformats.org/officeDocument/2006/relationships/hyperlink" Target="https://app.answerthis.io/answer/a4f88d5f6d63c58e" TargetMode="External"/><Relationship Id="rId15" Type="http://schemas.openxmlformats.org/officeDocument/2006/relationships/hyperlink" Target="https://app.answerthis.io/answer/a4f88d5f6d63c58e" TargetMode="External"/><Relationship Id="rId23" Type="http://schemas.openxmlformats.org/officeDocument/2006/relationships/hyperlink" Target="https://app.answerthis.io/answer/a4f88d5f6d63c58e" TargetMode="External"/><Relationship Id="rId28" Type="http://schemas.openxmlformats.org/officeDocument/2006/relationships/hyperlink" Target="https://app.answerthis.io/answer/a4f88d5f6d63c58e" TargetMode="External"/><Relationship Id="rId36" Type="http://schemas.openxmlformats.org/officeDocument/2006/relationships/hyperlink" Target="https://app.answerthis.io/answer/a4f88d5f6d63c58e" TargetMode="External"/><Relationship Id="rId49" Type="http://schemas.openxmlformats.org/officeDocument/2006/relationships/hyperlink" Target="https://app.answerthis.io/answer/a4f88d5f6d63c58e" TargetMode="External"/><Relationship Id="rId57" Type="http://schemas.openxmlformats.org/officeDocument/2006/relationships/hyperlink" Target="https://app.answerthis.io/answer/a4f88d5f6d63c58e" TargetMode="External"/><Relationship Id="rId10" Type="http://schemas.openxmlformats.org/officeDocument/2006/relationships/hyperlink" Target="https://app.answerthis.io/answer/a4f88d5f6d63c58e" TargetMode="External"/><Relationship Id="rId31" Type="http://schemas.openxmlformats.org/officeDocument/2006/relationships/hyperlink" Target="https://app.answerthis.io/answer/a4f88d5f6d63c58e" TargetMode="External"/><Relationship Id="rId44" Type="http://schemas.openxmlformats.org/officeDocument/2006/relationships/hyperlink" Target="https://app.answerthis.io/answer/a4f88d5f6d63c58e" TargetMode="External"/><Relationship Id="rId52" Type="http://schemas.openxmlformats.org/officeDocument/2006/relationships/hyperlink" Target="https://app.answerthis.io/answer/a4f88d5f6d63c58e" TargetMode="External"/><Relationship Id="rId60" Type="http://schemas.openxmlformats.org/officeDocument/2006/relationships/hyperlink" Target="https://app.answerthis.io/answer/a4f88d5f6d63c58e" TargetMode="External"/><Relationship Id="rId65" Type="http://schemas.openxmlformats.org/officeDocument/2006/relationships/hyperlink" Target="https://app.answerthis.io/answer/a4f88d5f6d63c58e" TargetMode="External"/><Relationship Id="rId73" Type="http://schemas.openxmlformats.org/officeDocument/2006/relationships/theme" Target="theme/theme1.xml"/><Relationship Id="rId4" Type="http://schemas.openxmlformats.org/officeDocument/2006/relationships/hyperlink" Target="https://app.answerthis.io/answer/a4f88d5f6d63c58e" TargetMode="External"/><Relationship Id="rId9" Type="http://schemas.openxmlformats.org/officeDocument/2006/relationships/hyperlink" Target="https://app.answerthis.io/answer/a4f88d5f6d63c58e" TargetMode="External"/><Relationship Id="rId13" Type="http://schemas.openxmlformats.org/officeDocument/2006/relationships/hyperlink" Target="https://app.answerthis.io/answer/a4f88d5f6d63c58e" TargetMode="External"/><Relationship Id="rId18" Type="http://schemas.openxmlformats.org/officeDocument/2006/relationships/hyperlink" Target="https://app.answerthis.io/answer/a4f88d5f6d63c58e" TargetMode="External"/><Relationship Id="rId39" Type="http://schemas.openxmlformats.org/officeDocument/2006/relationships/hyperlink" Target="https://app.answerthis.io/answer/a4f88d5f6d63c58e" TargetMode="External"/><Relationship Id="rId34" Type="http://schemas.openxmlformats.org/officeDocument/2006/relationships/hyperlink" Target="https://app.answerthis.io/answer/a4f88d5f6d63c58e" TargetMode="External"/><Relationship Id="rId50" Type="http://schemas.openxmlformats.org/officeDocument/2006/relationships/hyperlink" Target="https://app.answerthis.io/answer/a4f88d5f6d63c58e" TargetMode="External"/><Relationship Id="rId55" Type="http://schemas.openxmlformats.org/officeDocument/2006/relationships/hyperlink" Target="https://app.answerthis.io/answer/a4f88d5f6d63c58e" TargetMode="External"/><Relationship Id="rId7" Type="http://schemas.openxmlformats.org/officeDocument/2006/relationships/hyperlink" Target="https://app.answerthis.io/answer/a4f88d5f6d63c58e" TargetMode="External"/><Relationship Id="rId71" Type="http://schemas.openxmlformats.org/officeDocument/2006/relationships/hyperlink" Target="https://app.answerthis.io/answer/a4f88d5f6d63c5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6601</Words>
  <Characters>37626</Characters>
  <Application>Microsoft Office Word</Application>
  <DocSecurity>0</DocSecurity>
  <Lines>313</Lines>
  <Paragraphs>88</Paragraphs>
  <ScaleCrop>false</ScaleCrop>
  <Company/>
  <LinksUpToDate>false</LinksUpToDate>
  <CharactersWithSpaces>44139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2025-10-03T07:57:00Z</dcterms:created>
  <dcterms:modified xsi:type="dcterms:W3CDTF">2025-10-03T07:58:00Z</dcterms:modified>
</cp:coreProperties>
</file>