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BNMF Interpretation Addendum</w:t>
      </w:r>
    </w:p>
    <w:p>
      <w:pPr>
        <w:pStyle w:val="Subtitle"/>
      </w:pPr>
      <w:r>
        <w:t>Capstone progress update: interpreting AST auditory representations</w:t>
      </w:r>
    </w:p>
    <w:p>
      <w:pPr>
        <w:spacing w:after="60"/>
      </w:pPr>
      <w:r>
        <w:rPr>
          <w:b/>
        </w:rPr>
        <w:t xml:space="preserve">Student: </w:t>
      </w:r>
      <w:r>
        <w:t>Deyu Wang</w:t>
      </w:r>
    </w:p>
    <w:p>
      <w:pPr>
        <w:spacing w:after="60"/>
      </w:pPr>
      <w:r>
        <w:rPr>
          <w:b/>
        </w:rPr>
        <w:t xml:space="preserve">Advisor: </w:t>
      </w:r>
      <w:r>
        <w:t>Prof. Meenakshi Khosla</w:t>
      </w:r>
    </w:p>
    <w:p>
      <w:pPr>
        <w:spacing w:after="60"/>
      </w:pPr>
      <w:r>
        <w:rPr>
          <w:b/>
        </w:rPr>
        <w:t xml:space="preserve">Date: </w:t>
      </w:r>
      <w:r>
        <w:t>May 28, 2026</w:t>
      </w:r>
    </w:p>
    <w:tbl>
      <w:tblPr>
        <w:tblW w:type="auto" w:w="0"/>
        <w:jc w:val="left"/>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pPr>
              <w:spacing w:after="0"/>
            </w:pPr>
            <w:r>
              <w:rPr>
                <w:color w:val="333333"/>
                <w:sz w:val="20"/>
              </w:rPr>
              <w:t>Purpose: this addendum is meant to update the previously reviewed capstone report. It focuses on the new interpretation section rather than re-explaining the earlier dataset, classification, and developmental-trajectory results.</w:t>
            </w:r>
          </w:p>
        </w:tc>
      </w:tr>
    </w:tbl>
    <w:p/>
    <w:p>
      <w:pPr>
        <w:pStyle w:val="Heading1"/>
      </w:pPr>
      <w:r>
        <w:t>1. What Changed Since the Previous Report</w:t>
      </w:r>
    </w:p>
    <w:p>
      <w:pPr>
        <w:pStyle w:val="ListBullet"/>
      </w:pPr>
      <w:r>
        <w:t>Added a Bayesian NMF interpretation pipeline for the AST embedding space.</w:t>
      </w:r>
    </w:p>
    <w:p>
      <w:pPr>
        <w:pStyle w:val="ListBullet"/>
      </w:pPr>
      <w:r>
        <w:t>Selected the number of components using BIC; the best value was K = 10.</w:t>
      </w:r>
    </w:p>
    <w:p>
      <w:pPr>
        <w:pStyle w:val="ListBullet"/>
      </w:pPr>
      <w:r>
        <w:t>Ran 20 independent BNMF fits and built a consensus component solution.</w:t>
      </w:r>
    </w:p>
    <w:p>
      <w:pPr>
        <w:pStyle w:val="ListBullet"/>
      </w:pPr>
      <w:r>
        <w:t>Generated component-level interpretation outputs: category composition, purity, co-activation, weight-space similarity, TF-IDF words, and t-SNE activation panels.</w:t>
      </w:r>
    </w:p>
    <w:p>
      <w:pPr>
        <w:pStyle w:val="ListBullet"/>
      </w:pPr>
      <w:r>
        <w:t>Prepared an extended notebook so the analysis can be reviewed from cached outputs.</w:t>
      </w:r>
    </w:p>
    <w:p>
      <w:pPr>
        <w:pStyle w:val="Heading1"/>
      </w:pPr>
      <w:r>
        <w:t>2. Short Interpretation Summary</w:t>
      </w:r>
    </w:p>
    <w:p>
      <w:r>
        <w:t>The new analysis decomposes the pretrained AST representation into interpretable sound components. Instead of only asking whether AST can classify speech or sound category, this section asks what kinds of acoustic concepts are organized inside the learned representation.</w:t>
      </w:r>
    </w:p>
    <w:p>
      <w:r>
        <w:t>The components are not just copies of the five weak labels. They subdivide broad categories into more specific auditory concepts: environment separates into railway, machinery, impacts, and vehicles; speech separates into crowd/children speech, adult speech, and infant/animal vocalization patterns; nature separates into water/rain and weather/waves.</w:t>
      </w:r>
    </w:p>
    <w:p>
      <w:r>
        <w:br w:type="page"/>
      </w:r>
    </w:p>
    <w:p>
      <w:pPr>
        <w:pStyle w:val="Heading1"/>
      </w:pPr>
      <w:r>
        <w:t>3. Component Overview</w:t>
      </w: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c>
          <w:tcPr>
            <w:tcW w:type="dxa" w:w="1728"/>
            <w:shd w:fill="E8EEF5"/>
            <w:tcMar>
              <w:top w:w="80" w:type="dxa"/>
              <w:start w:w="120" w:type="dxa"/>
              <w:bottom w:w="80" w:type="dxa"/>
              <w:end w:w="120" w:type="dxa"/>
            </w:tcMar>
            <w:vAlign w:val="center"/>
          </w:tcPr>
          <w:p>
            <w:r>
              <w:rPr>
                <w:b/>
                <w:sz w:val="19"/>
              </w:rPr>
              <w:t>Component</w:t>
            </w:r>
          </w:p>
        </w:tc>
        <w:tc>
          <w:tcPr>
            <w:tcW w:type="dxa" w:w="1728"/>
            <w:shd w:fill="E8EEF5"/>
            <w:tcMar>
              <w:top w:w="80" w:type="dxa"/>
              <w:start w:w="120" w:type="dxa"/>
              <w:bottom w:w="80" w:type="dxa"/>
              <w:end w:w="120" w:type="dxa"/>
            </w:tcMar>
            <w:vAlign w:val="center"/>
          </w:tcPr>
          <w:p>
            <w:r>
              <w:rPr>
                <w:b/>
                <w:sz w:val="19"/>
              </w:rPr>
              <w:t>Dominant category</w:t>
            </w:r>
          </w:p>
        </w:tc>
        <w:tc>
          <w:tcPr>
            <w:tcW w:type="dxa" w:w="1296"/>
            <w:shd w:fill="E8EEF5"/>
            <w:tcMar>
              <w:top w:w="80" w:type="dxa"/>
              <w:start w:w="120" w:type="dxa"/>
              <w:bottom w:w="80" w:type="dxa"/>
              <w:end w:w="120" w:type="dxa"/>
            </w:tcMar>
            <w:vAlign w:val="center"/>
          </w:tcPr>
          <w:p>
            <w:r>
              <w:rPr>
                <w:b/>
                <w:sz w:val="19"/>
              </w:rPr>
              <w:t>Top-50 share</w:t>
            </w:r>
          </w:p>
        </w:tc>
        <w:tc>
          <w:tcPr>
            <w:tcW w:type="dxa" w:w="1152"/>
            <w:shd w:fill="E8EEF5"/>
            <w:tcMar>
              <w:top w:w="80" w:type="dxa"/>
              <w:start w:w="120" w:type="dxa"/>
              <w:bottom w:w="80" w:type="dxa"/>
              <w:end w:w="120" w:type="dxa"/>
            </w:tcMar>
            <w:vAlign w:val="center"/>
          </w:tcPr>
          <w:p>
            <w:r>
              <w:rPr>
                <w:b/>
                <w:sz w:val="19"/>
              </w:rPr>
              <w:t>Entropy</w:t>
            </w:r>
          </w:p>
        </w:tc>
        <w:tc>
          <w:tcPr>
            <w:tcW w:type="dxa" w:w="3168"/>
            <w:shd w:fill="E8EEF5"/>
            <w:tcMar>
              <w:top w:w="80" w:type="dxa"/>
              <w:start w:w="120" w:type="dxa"/>
              <w:bottom w:w="80" w:type="dxa"/>
              <w:end w:w="120" w:type="dxa"/>
            </w:tcMar>
            <w:vAlign w:val="center"/>
          </w:tcPr>
          <w:p>
            <w:r>
              <w:rPr>
                <w:b/>
                <w:sz w:val="19"/>
              </w:rPr>
              <w:t>Characteristic words</w:t>
            </w:r>
          </w:p>
        </w:tc>
      </w:tr>
      <w:tr>
        <w:tc>
          <w:tcPr>
            <w:tcW w:type="dxa" w:w="1728"/>
            <w:tcMar>
              <w:top w:w="80" w:type="dxa"/>
              <w:start w:w="120" w:type="dxa"/>
              <w:bottom w:w="80" w:type="dxa"/>
              <w:end w:w="120" w:type="dxa"/>
            </w:tcMar>
            <w:vAlign w:val="center"/>
          </w:tcPr>
          <w:p>
            <w:r>
              <w:rPr>
                <w:sz w:val="18"/>
              </w:rPr>
              <w:t>C2: Machinery</w:t>
            </w:r>
          </w:p>
        </w:tc>
        <w:tc>
          <w:tcPr>
            <w:tcW w:type="dxa" w:w="1728"/>
            <w:tcMar>
              <w:top w:w="80" w:type="dxa"/>
              <w:start w:w="120" w:type="dxa"/>
              <w:bottom w:w="80" w:type="dxa"/>
              <w:end w:w="120" w:type="dxa"/>
            </w:tcMar>
            <w:vAlign w:val="center"/>
          </w:tcPr>
          <w:p>
            <w:r>
              <w:rPr>
                <w:sz w:val="18"/>
              </w:rPr>
              <w:t>environment</w:t>
            </w:r>
          </w:p>
        </w:tc>
        <w:tc>
          <w:tcPr>
            <w:tcW w:type="dxa" w:w="1296"/>
            <w:tcMar>
              <w:top w:w="80" w:type="dxa"/>
              <w:start w:w="120" w:type="dxa"/>
              <w:bottom w:w="80" w:type="dxa"/>
              <w:end w:w="120" w:type="dxa"/>
            </w:tcMar>
            <w:vAlign w:val="center"/>
          </w:tcPr>
          <w:p>
            <w:r>
              <w:rPr>
                <w:sz w:val="18"/>
              </w:rPr>
              <w:t>94.0%</w:t>
            </w:r>
          </w:p>
        </w:tc>
        <w:tc>
          <w:tcPr>
            <w:tcW w:type="dxa" w:w="1152"/>
            <w:tcMar>
              <w:top w:w="80" w:type="dxa"/>
              <w:start w:w="120" w:type="dxa"/>
              <w:bottom w:w="80" w:type="dxa"/>
              <w:end w:w="120" w:type="dxa"/>
            </w:tcMar>
            <w:vAlign w:val="center"/>
          </w:tcPr>
          <w:p>
            <w:r>
              <w:rPr>
                <w:sz w:val="18"/>
              </w:rPr>
              <w:t>0.141</w:t>
            </w:r>
          </w:p>
        </w:tc>
        <w:tc>
          <w:tcPr>
            <w:tcW w:type="dxa" w:w="3168"/>
            <w:tcMar>
              <w:top w:w="80" w:type="dxa"/>
              <w:start w:w="120" w:type="dxa"/>
              <w:bottom w:w="80" w:type="dxa"/>
              <w:end w:w="120" w:type="dxa"/>
            </w:tcMar>
            <w:vAlign w:val="center"/>
          </w:tcPr>
          <w:p>
            <w:r>
              <w:rPr>
                <w:sz w:val="18"/>
              </w:rPr>
              <w:t>engine, revving, running, idle, car, vehicle, vibrating, motor, starting, times</w:t>
            </w:r>
          </w:p>
        </w:tc>
      </w:tr>
      <w:tr>
        <w:tc>
          <w:tcPr>
            <w:tcW w:type="dxa" w:w="1728"/>
            <w:tcMar>
              <w:top w:w="80" w:type="dxa"/>
              <w:start w:w="120" w:type="dxa"/>
              <w:bottom w:w="80" w:type="dxa"/>
              <w:end w:w="120" w:type="dxa"/>
            </w:tcMar>
            <w:vAlign w:val="center"/>
          </w:tcPr>
          <w:p>
            <w:r>
              <w:rPr>
                <w:sz w:val="18"/>
              </w:rPr>
              <w:t>C4: Crowd noise</w:t>
            </w:r>
          </w:p>
        </w:tc>
        <w:tc>
          <w:tcPr>
            <w:tcW w:type="dxa" w:w="1728"/>
            <w:tcMar>
              <w:top w:w="80" w:type="dxa"/>
              <w:start w:w="120" w:type="dxa"/>
              <w:bottom w:w="80" w:type="dxa"/>
              <w:end w:w="120" w:type="dxa"/>
            </w:tcMar>
            <w:vAlign w:val="center"/>
          </w:tcPr>
          <w:p>
            <w:r>
              <w:rPr>
                <w:sz w:val="18"/>
              </w:rPr>
              <w:t>speech</w:t>
            </w:r>
          </w:p>
        </w:tc>
        <w:tc>
          <w:tcPr>
            <w:tcW w:type="dxa" w:w="1296"/>
            <w:tcMar>
              <w:top w:w="80" w:type="dxa"/>
              <w:start w:w="120" w:type="dxa"/>
              <w:bottom w:w="80" w:type="dxa"/>
              <w:end w:w="120" w:type="dxa"/>
            </w:tcMar>
            <w:vAlign w:val="center"/>
          </w:tcPr>
          <w:p>
            <w:r>
              <w:rPr>
                <w:sz w:val="18"/>
              </w:rPr>
              <w:t>90.0%</w:t>
            </w:r>
          </w:p>
        </w:tc>
        <w:tc>
          <w:tcPr>
            <w:tcW w:type="dxa" w:w="1152"/>
            <w:tcMar>
              <w:top w:w="80" w:type="dxa"/>
              <w:start w:w="120" w:type="dxa"/>
              <w:bottom w:w="80" w:type="dxa"/>
              <w:end w:w="120" w:type="dxa"/>
            </w:tcMar>
            <w:vAlign w:val="center"/>
          </w:tcPr>
          <w:p>
            <w:r>
              <w:rPr>
                <w:sz w:val="18"/>
              </w:rPr>
              <w:t>0.261</w:t>
            </w:r>
          </w:p>
        </w:tc>
        <w:tc>
          <w:tcPr>
            <w:tcW w:type="dxa" w:w="3168"/>
            <w:tcMar>
              <w:top w:w="80" w:type="dxa"/>
              <w:start w:w="120" w:type="dxa"/>
              <w:bottom w:w="80" w:type="dxa"/>
              <w:end w:w="120" w:type="dxa"/>
            </w:tcMar>
            <w:vAlign w:val="center"/>
          </w:tcPr>
          <w:p>
            <w:r>
              <w:rPr>
                <w:sz w:val="18"/>
              </w:rPr>
              <w:t>crowd, whistle, cheer, children, woman, talk, applauding, cheering, train, group</w:t>
            </w:r>
          </w:p>
        </w:tc>
      </w:tr>
      <w:tr>
        <w:tc>
          <w:tcPr>
            <w:tcW w:type="dxa" w:w="1728"/>
            <w:tcMar>
              <w:top w:w="80" w:type="dxa"/>
              <w:start w:w="120" w:type="dxa"/>
              <w:bottom w:w="80" w:type="dxa"/>
              <w:end w:w="120" w:type="dxa"/>
            </w:tcMar>
            <w:vAlign w:val="center"/>
          </w:tcPr>
          <w:p>
            <w:r>
              <w:rPr>
                <w:sz w:val="18"/>
              </w:rPr>
              <w:t>C7: Female speech</w:t>
            </w:r>
          </w:p>
        </w:tc>
        <w:tc>
          <w:tcPr>
            <w:tcW w:type="dxa" w:w="1728"/>
            <w:tcMar>
              <w:top w:w="80" w:type="dxa"/>
              <w:start w:w="120" w:type="dxa"/>
              <w:bottom w:w="80" w:type="dxa"/>
              <w:end w:w="120" w:type="dxa"/>
            </w:tcMar>
            <w:vAlign w:val="center"/>
          </w:tcPr>
          <w:p>
            <w:r>
              <w:rPr>
                <w:sz w:val="18"/>
              </w:rPr>
              <w:t>speech</w:t>
            </w:r>
          </w:p>
        </w:tc>
        <w:tc>
          <w:tcPr>
            <w:tcW w:type="dxa" w:w="1296"/>
            <w:tcMar>
              <w:top w:w="80" w:type="dxa"/>
              <w:start w:w="120" w:type="dxa"/>
              <w:bottom w:w="80" w:type="dxa"/>
              <w:end w:w="120" w:type="dxa"/>
            </w:tcMar>
            <w:vAlign w:val="center"/>
          </w:tcPr>
          <w:p>
            <w:r>
              <w:rPr>
                <w:sz w:val="18"/>
              </w:rPr>
              <w:t>88.0%</w:t>
            </w:r>
          </w:p>
        </w:tc>
        <w:tc>
          <w:tcPr>
            <w:tcW w:type="dxa" w:w="1152"/>
            <w:tcMar>
              <w:top w:w="80" w:type="dxa"/>
              <w:start w:w="120" w:type="dxa"/>
              <w:bottom w:w="80" w:type="dxa"/>
              <w:end w:w="120" w:type="dxa"/>
            </w:tcMar>
            <w:vAlign w:val="center"/>
          </w:tcPr>
          <w:p>
            <w:r>
              <w:rPr>
                <w:sz w:val="18"/>
              </w:rPr>
              <w:t>0.262</w:t>
            </w:r>
          </w:p>
        </w:tc>
        <w:tc>
          <w:tcPr>
            <w:tcW w:type="dxa" w:w="3168"/>
            <w:tcMar>
              <w:top w:w="80" w:type="dxa"/>
              <w:start w:w="120" w:type="dxa"/>
              <w:bottom w:w="80" w:type="dxa"/>
              <w:end w:w="120" w:type="dxa"/>
            </w:tcMar>
            <w:vAlign w:val="center"/>
          </w:tcPr>
          <w:p>
            <w:r>
              <w:rPr>
                <w:sz w:val="18"/>
              </w:rPr>
              <w:t>speaks, woman, female, adult, faucet, metal, water, environment, speech, dog</w:t>
            </w:r>
          </w:p>
        </w:tc>
      </w:tr>
      <w:tr>
        <w:tc>
          <w:tcPr>
            <w:tcW w:type="dxa" w:w="1728"/>
            <w:tcMar>
              <w:top w:w="80" w:type="dxa"/>
              <w:start w:w="120" w:type="dxa"/>
              <w:bottom w:w="80" w:type="dxa"/>
              <w:end w:w="120" w:type="dxa"/>
            </w:tcMar>
            <w:vAlign w:val="center"/>
          </w:tcPr>
          <w:p>
            <w:r>
              <w:rPr>
                <w:sz w:val="18"/>
              </w:rPr>
              <w:t>C10: Vehicles</w:t>
            </w:r>
          </w:p>
        </w:tc>
        <w:tc>
          <w:tcPr>
            <w:tcW w:type="dxa" w:w="1728"/>
            <w:tcMar>
              <w:top w:w="80" w:type="dxa"/>
              <w:start w:w="120" w:type="dxa"/>
              <w:bottom w:w="80" w:type="dxa"/>
              <w:end w:w="120" w:type="dxa"/>
            </w:tcMar>
            <w:vAlign w:val="center"/>
          </w:tcPr>
          <w:p>
            <w:r>
              <w:rPr>
                <w:sz w:val="18"/>
              </w:rPr>
              <w:t>environment</w:t>
            </w:r>
          </w:p>
        </w:tc>
        <w:tc>
          <w:tcPr>
            <w:tcW w:type="dxa" w:w="1296"/>
            <w:tcMar>
              <w:top w:w="80" w:type="dxa"/>
              <w:start w:w="120" w:type="dxa"/>
              <w:bottom w:w="80" w:type="dxa"/>
              <w:end w:w="120" w:type="dxa"/>
            </w:tcMar>
            <w:vAlign w:val="center"/>
          </w:tcPr>
          <w:p>
            <w:r>
              <w:rPr>
                <w:sz w:val="18"/>
              </w:rPr>
              <w:t>84.0%</w:t>
            </w:r>
          </w:p>
        </w:tc>
        <w:tc>
          <w:tcPr>
            <w:tcW w:type="dxa" w:w="1152"/>
            <w:tcMar>
              <w:top w:w="80" w:type="dxa"/>
              <w:start w:w="120" w:type="dxa"/>
              <w:bottom w:w="80" w:type="dxa"/>
              <w:end w:w="120" w:type="dxa"/>
            </w:tcMar>
            <w:vAlign w:val="center"/>
          </w:tcPr>
          <w:p>
            <w:r>
              <w:rPr>
                <w:sz w:val="18"/>
              </w:rPr>
              <w:t>0.342</w:t>
            </w:r>
          </w:p>
        </w:tc>
        <w:tc>
          <w:tcPr>
            <w:tcW w:type="dxa" w:w="3168"/>
            <w:tcMar>
              <w:top w:w="80" w:type="dxa"/>
              <w:start w:w="120" w:type="dxa"/>
              <w:bottom w:w="80" w:type="dxa"/>
              <w:end w:w="120" w:type="dxa"/>
            </w:tcMar>
            <w:vAlign w:val="center"/>
          </w:tcPr>
          <w:p>
            <w:r>
              <w:rPr>
                <w:sz w:val="18"/>
              </w:rPr>
              <w:t>engine, revving, vehicle, accelerates, accelerating, car, revs, motor, running, humming</w:t>
            </w:r>
          </w:p>
        </w:tc>
      </w:tr>
      <w:tr>
        <w:tc>
          <w:tcPr>
            <w:tcW w:type="dxa" w:w="1728"/>
            <w:tcMar>
              <w:top w:w="80" w:type="dxa"/>
              <w:start w:w="120" w:type="dxa"/>
              <w:bottom w:w="80" w:type="dxa"/>
              <w:end w:w="120" w:type="dxa"/>
            </w:tcMar>
            <w:vAlign w:val="center"/>
          </w:tcPr>
          <w:p>
            <w:r>
              <w:rPr>
                <w:sz w:val="18"/>
              </w:rPr>
              <w:t>C9: Outdoor mixed</w:t>
            </w:r>
          </w:p>
        </w:tc>
        <w:tc>
          <w:tcPr>
            <w:tcW w:type="dxa" w:w="1728"/>
            <w:tcMar>
              <w:top w:w="80" w:type="dxa"/>
              <w:start w:w="120" w:type="dxa"/>
              <w:bottom w:w="80" w:type="dxa"/>
              <w:end w:w="120" w:type="dxa"/>
            </w:tcMar>
            <w:vAlign w:val="center"/>
          </w:tcPr>
          <w:p>
            <w:r>
              <w:rPr>
                <w:sz w:val="18"/>
              </w:rPr>
              <w:t>environment</w:t>
            </w:r>
          </w:p>
        </w:tc>
        <w:tc>
          <w:tcPr>
            <w:tcW w:type="dxa" w:w="1296"/>
            <w:tcMar>
              <w:top w:w="80" w:type="dxa"/>
              <w:start w:w="120" w:type="dxa"/>
              <w:bottom w:w="80" w:type="dxa"/>
              <w:end w:w="120" w:type="dxa"/>
            </w:tcMar>
            <w:vAlign w:val="center"/>
          </w:tcPr>
          <w:p>
            <w:r>
              <w:rPr>
                <w:sz w:val="18"/>
              </w:rPr>
              <w:t>56.0%</w:t>
            </w:r>
          </w:p>
        </w:tc>
        <w:tc>
          <w:tcPr>
            <w:tcW w:type="dxa" w:w="1152"/>
            <w:tcMar>
              <w:top w:w="80" w:type="dxa"/>
              <w:start w:w="120" w:type="dxa"/>
              <w:bottom w:w="80" w:type="dxa"/>
              <w:end w:w="120" w:type="dxa"/>
            </w:tcMar>
            <w:vAlign w:val="center"/>
          </w:tcPr>
          <w:p>
            <w:r>
              <w:rPr>
                <w:sz w:val="18"/>
              </w:rPr>
              <w:t>0.477</w:t>
            </w:r>
          </w:p>
        </w:tc>
        <w:tc>
          <w:tcPr>
            <w:tcW w:type="dxa" w:w="3168"/>
            <w:tcMar>
              <w:top w:w="80" w:type="dxa"/>
              <w:start w:w="120" w:type="dxa"/>
              <w:bottom w:w="80" w:type="dxa"/>
              <w:end w:w="120" w:type="dxa"/>
            </w:tcMar>
            <w:vAlign w:val="center"/>
          </w:tcPr>
          <w:p>
            <w:r>
              <w:rPr>
                <w:sz w:val="18"/>
              </w:rPr>
              <w:t>train, horn, talk, honking, crowd, railroad, engine, truck, vehicle, blowing</w:t>
            </w:r>
          </w:p>
        </w:tc>
      </w:tr>
      <w:tr>
        <w:tc>
          <w:tcPr>
            <w:tcW w:type="dxa" w:w="1728"/>
            <w:tcMar>
              <w:top w:w="80" w:type="dxa"/>
              <w:start w:w="120" w:type="dxa"/>
              <w:bottom w:w="80" w:type="dxa"/>
              <w:end w:w="120" w:type="dxa"/>
            </w:tcMar>
            <w:vAlign w:val="center"/>
          </w:tcPr>
          <w:p>
            <w:r>
              <w:rPr>
                <w:sz w:val="18"/>
              </w:rPr>
              <w:t>C8: Weather/Waves</w:t>
            </w:r>
          </w:p>
        </w:tc>
        <w:tc>
          <w:tcPr>
            <w:tcW w:type="dxa" w:w="1728"/>
            <w:tcMar>
              <w:top w:w="80" w:type="dxa"/>
              <w:start w:w="120" w:type="dxa"/>
              <w:bottom w:w="80" w:type="dxa"/>
              <w:end w:w="120" w:type="dxa"/>
            </w:tcMar>
            <w:vAlign w:val="center"/>
          </w:tcPr>
          <w:p>
            <w:r>
              <w:rPr>
                <w:sz w:val="18"/>
              </w:rPr>
              <w:t>nature</w:t>
            </w:r>
          </w:p>
        </w:tc>
        <w:tc>
          <w:tcPr>
            <w:tcW w:type="dxa" w:w="1296"/>
            <w:tcMar>
              <w:top w:w="80" w:type="dxa"/>
              <w:start w:w="120" w:type="dxa"/>
              <w:bottom w:w="80" w:type="dxa"/>
              <w:end w:w="120" w:type="dxa"/>
            </w:tcMar>
            <w:vAlign w:val="center"/>
          </w:tcPr>
          <w:p>
            <w:r>
              <w:rPr>
                <w:sz w:val="18"/>
              </w:rPr>
              <w:t>72.0%</w:t>
            </w:r>
          </w:p>
        </w:tc>
        <w:tc>
          <w:tcPr>
            <w:tcW w:type="dxa" w:w="1152"/>
            <w:tcMar>
              <w:top w:w="80" w:type="dxa"/>
              <w:start w:w="120" w:type="dxa"/>
              <w:bottom w:w="80" w:type="dxa"/>
              <w:end w:w="120" w:type="dxa"/>
            </w:tcMar>
            <w:vAlign w:val="center"/>
          </w:tcPr>
          <w:p>
            <w:r>
              <w:rPr>
                <w:sz w:val="18"/>
              </w:rPr>
              <w:t>0.487</w:t>
            </w:r>
          </w:p>
        </w:tc>
        <w:tc>
          <w:tcPr>
            <w:tcW w:type="dxa" w:w="3168"/>
            <w:tcMar>
              <w:top w:w="80" w:type="dxa"/>
              <w:start w:w="120" w:type="dxa"/>
              <w:bottom w:w="80" w:type="dxa"/>
              <w:end w:w="120" w:type="dxa"/>
            </w:tcMar>
            <w:vAlign w:val="center"/>
          </w:tcPr>
          <w:p>
            <w:r>
              <w:rPr>
                <w:sz w:val="18"/>
              </w:rPr>
              <w:t>rain, thunder, water, wind, heavy, stream, river, falls, flowing, splashing</w:t>
            </w:r>
          </w:p>
        </w:tc>
      </w:tr>
      <w:tr>
        <w:tc>
          <w:tcPr>
            <w:tcW w:type="dxa" w:w="1728"/>
            <w:tcMar>
              <w:top w:w="80" w:type="dxa"/>
              <w:start w:w="120" w:type="dxa"/>
              <w:bottom w:w="80" w:type="dxa"/>
              <w:end w:w="120" w:type="dxa"/>
            </w:tcMar>
            <w:vAlign w:val="center"/>
          </w:tcPr>
          <w:p>
            <w:r>
              <w:rPr>
                <w:sz w:val="18"/>
              </w:rPr>
              <w:t>C1: Railway</w:t>
            </w:r>
          </w:p>
        </w:tc>
        <w:tc>
          <w:tcPr>
            <w:tcW w:type="dxa" w:w="1728"/>
            <w:tcMar>
              <w:top w:w="80" w:type="dxa"/>
              <w:start w:w="120" w:type="dxa"/>
              <w:bottom w:w="80" w:type="dxa"/>
              <w:end w:w="120" w:type="dxa"/>
            </w:tcMar>
            <w:vAlign w:val="center"/>
          </w:tcPr>
          <w:p>
            <w:r>
              <w:rPr>
                <w:sz w:val="18"/>
              </w:rPr>
              <w:t>environment</w:t>
            </w:r>
          </w:p>
        </w:tc>
        <w:tc>
          <w:tcPr>
            <w:tcW w:type="dxa" w:w="1296"/>
            <w:tcMar>
              <w:top w:w="80" w:type="dxa"/>
              <w:start w:w="120" w:type="dxa"/>
              <w:bottom w:w="80" w:type="dxa"/>
              <w:end w:w="120" w:type="dxa"/>
            </w:tcMar>
            <w:vAlign w:val="center"/>
          </w:tcPr>
          <w:p>
            <w:r>
              <w:rPr>
                <w:sz w:val="18"/>
              </w:rPr>
              <w:t>66.0%</w:t>
            </w:r>
          </w:p>
        </w:tc>
        <w:tc>
          <w:tcPr>
            <w:tcW w:type="dxa" w:w="1152"/>
            <w:tcMar>
              <w:top w:w="80" w:type="dxa"/>
              <w:start w:w="120" w:type="dxa"/>
              <w:bottom w:w="80" w:type="dxa"/>
              <w:end w:w="120" w:type="dxa"/>
            </w:tcMar>
            <w:vAlign w:val="center"/>
          </w:tcPr>
          <w:p>
            <w:r>
              <w:rPr>
                <w:sz w:val="18"/>
              </w:rPr>
              <w:t>0.541</w:t>
            </w:r>
          </w:p>
        </w:tc>
        <w:tc>
          <w:tcPr>
            <w:tcW w:type="dxa" w:w="3168"/>
            <w:tcMar>
              <w:top w:w="80" w:type="dxa"/>
              <w:start w:w="120" w:type="dxa"/>
              <w:bottom w:w="80" w:type="dxa"/>
              <w:end w:w="120" w:type="dxa"/>
            </w:tcMar>
            <w:vAlign w:val="center"/>
          </w:tcPr>
          <w:p>
            <w:r>
              <w:rPr>
                <w:sz w:val="18"/>
              </w:rPr>
              <w:t>train, horn, railroad, running, tracks, water, passes, signal, blowing, blows</w:t>
            </w:r>
          </w:p>
        </w:tc>
      </w:tr>
      <w:tr>
        <w:tc>
          <w:tcPr>
            <w:tcW w:type="dxa" w:w="1728"/>
            <w:tcMar>
              <w:top w:w="80" w:type="dxa"/>
              <w:start w:w="120" w:type="dxa"/>
              <w:bottom w:w="80" w:type="dxa"/>
              <w:end w:w="120" w:type="dxa"/>
            </w:tcMar>
            <w:vAlign w:val="center"/>
          </w:tcPr>
          <w:p>
            <w:r>
              <w:rPr>
                <w:sz w:val="18"/>
              </w:rPr>
              <w:t>C6: Infant/Animal</w:t>
            </w:r>
          </w:p>
        </w:tc>
        <w:tc>
          <w:tcPr>
            <w:tcW w:type="dxa" w:w="1728"/>
            <w:tcMar>
              <w:top w:w="80" w:type="dxa"/>
              <w:start w:w="120" w:type="dxa"/>
              <w:bottom w:w="80" w:type="dxa"/>
              <w:end w:w="120" w:type="dxa"/>
            </w:tcMar>
            <w:vAlign w:val="center"/>
          </w:tcPr>
          <w:p>
            <w:r>
              <w:rPr>
                <w:sz w:val="18"/>
              </w:rPr>
              <w:t>speech</w:t>
            </w:r>
          </w:p>
        </w:tc>
        <w:tc>
          <w:tcPr>
            <w:tcW w:type="dxa" w:w="1296"/>
            <w:tcMar>
              <w:top w:w="80" w:type="dxa"/>
              <w:start w:w="120" w:type="dxa"/>
              <w:bottom w:w="80" w:type="dxa"/>
              <w:end w:w="120" w:type="dxa"/>
            </w:tcMar>
            <w:vAlign w:val="center"/>
          </w:tcPr>
          <w:p>
            <w:r>
              <w:rPr>
                <w:sz w:val="18"/>
              </w:rPr>
              <w:t>58.0%</w:t>
            </w:r>
          </w:p>
        </w:tc>
        <w:tc>
          <w:tcPr>
            <w:tcW w:type="dxa" w:w="1152"/>
            <w:tcMar>
              <w:top w:w="80" w:type="dxa"/>
              <w:start w:w="120" w:type="dxa"/>
              <w:bottom w:w="80" w:type="dxa"/>
              <w:end w:w="120" w:type="dxa"/>
            </w:tcMar>
            <w:vAlign w:val="center"/>
          </w:tcPr>
          <w:p>
            <w:r>
              <w:rPr>
                <w:sz w:val="18"/>
              </w:rPr>
              <w:t>0.584</w:t>
            </w:r>
          </w:p>
        </w:tc>
        <w:tc>
          <w:tcPr>
            <w:tcW w:type="dxa" w:w="3168"/>
            <w:tcMar>
              <w:top w:w="80" w:type="dxa"/>
              <w:start w:w="120" w:type="dxa"/>
              <w:bottom w:w="80" w:type="dxa"/>
              <w:end w:w="120" w:type="dxa"/>
            </w:tcMar>
            <w:vAlign w:val="center"/>
          </w:tcPr>
          <w:p>
            <w:r>
              <w:rPr>
                <w:sz w:val="18"/>
              </w:rPr>
              <w:t>crying, baby, laughing, woman, young, cries, person, laugh, cawing, child</w:t>
            </w:r>
          </w:p>
        </w:tc>
      </w:tr>
      <w:tr>
        <w:tc>
          <w:tcPr>
            <w:tcW w:type="dxa" w:w="1728"/>
            <w:tcMar>
              <w:top w:w="80" w:type="dxa"/>
              <w:start w:w="120" w:type="dxa"/>
              <w:bottom w:w="80" w:type="dxa"/>
              <w:end w:w="120" w:type="dxa"/>
            </w:tcMar>
            <w:vAlign w:val="center"/>
          </w:tcPr>
          <w:p>
            <w:r>
              <w:rPr>
                <w:sz w:val="18"/>
              </w:rPr>
              <w:t>C3: Water/Rain</w:t>
            </w:r>
          </w:p>
        </w:tc>
        <w:tc>
          <w:tcPr>
            <w:tcW w:type="dxa" w:w="1728"/>
            <w:tcMar>
              <w:top w:w="80" w:type="dxa"/>
              <w:start w:w="120" w:type="dxa"/>
              <w:bottom w:w="80" w:type="dxa"/>
              <w:end w:w="120" w:type="dxa"/>
            </w:tcMar>
            <w:vAlign w:val="center"/>
          </w:tcPr>
          <w:p>
            <w:r>
              <w:rPr>
                <w:sz w:val="18"/>
              </w:rPr>
              <w:t>nature</w:t>
            </w:r>
          </w:p>
        </w:tc>
        <w:tc>
          <w:tcPr>
            <w:tcW w:type="dxa" w:w="1296"/>
            <w:tcMar>
              <w:top w:w="80" w:type="dxa"/>
              <w:start w:w="120" w:type="dxa"/>
              <w:bottom w:w="80" w:type="dxa"/>
              <w:end w:w="120" w:type="dxa"/>
            </w:tcMar>
            <w:vAlign w:val="center"/>
          </w:tcPr>
          <w:p>
            <w:r>
              <w:rPr>
                <w:sz w:val="18"/>
              </w:rPr>
              <w:t>60.0%</w:t>
            </w:r>
          </w:p>
        </w:tc>
        <w:tc>
          <w:tcPr>
            <w:tcW w:type="dxa" w:w="1152"/>
            <w:tcMar>
              <w:top w:w="80" w:type="dxa"/>
              <w:start w:w="120" w:type="dxa"/>
              <w:bottom w:w="80" w:type="dxa"/>
              <w:end w:w="120" w:type="dxa"/>
            </w:tcMar>
            <w:vAlign w:val="center"/>
          </w:tcPr>
          <w:p>
            <w:r>
              <w:rPr>
                <w:sz w:val="18"/>
              </w:rPr>
              <w:t>0.585</w:t>
            </w:r>
          </w:p>
        </w:tc>
        <w:tc>
          <w:tcPr>
            <w:tcW w:type="dxa" w:w="3168"/>
            <w:tcMar>
              <w:top w:w="80" w:type="dxa"/>
              <w:start w:w="120" w:type="dxa"/>
              <w:bottom w:w="80" w:type="dxa"/>
              <w:end w:w="120" w:type="dxa"/>
            </w:tcMar>
            <w:vAlign w:val="center"/>
          </w:tcPr>
          <w:p>
            <w:r>
              <w:rPr>
                <w:sz w:val="18"/>
              </w:rPr>
              <w:t>rain, water, thunder, falling, splashing, gurgling, stream, falls, trickling, river</w:t>
            </w:r>
          </w:p>
        </w:tc>
      </w:tr>
      <w:tr>
        <w:tc>
          <w:tcPr>
            <w:tcW w:type="dxa" w:w="1728"/>
            <w:tcMar>
              <w:top w:w="80" w:type="dxa"/>
              <w:start w:w="120" w:type="dxa"/>
              <w:bottom w:w="80" w:type="dxa"/>
              <w:end w:w="120" w:type="dxa"/>
            </w:tcMar>
            <w:vAlign w:val="center"/>
          </w:tcPr>
          <w:p>
            <w:r>
              <w:rPr>
                <w:sz w:val="18"/>
              </w:rPr>
              <w:t>C5: Impact sounds</w:t>
            </w:r>
          </w:p>
        </w:tc>
        <w:tc>
          <w:tcPr>
            <w:tcW w:type="dxa" w:w="1728"/>
            <w:tcMar>
              <w:top w:w="80" w:type="dxa"/>
              <w:start w:w="120" w:type="dxa"/>
              <w:bottom w:w="80" w:type="dxa"/>
              <w:end w:w="120" w:type="dxa"/>
            </w:tcMar>
            <w:vAlign w:val="center"/>
          </w:tcPr>
          <w:p>
            <w:r>
              <w:rPr>
                <w:sz w:val="18"/>
              </w:rPr>
              <w:t>environment</w:t>
            </w:r>
          </w:p>
        </w:tc>
        <w:tc>
          <w:tcPr>
            <w:tcW w:type="dxa" w:w="1296"/>
            <w:tcMar>
              <w:top w:w="80" w:type="dxa"/>
              <w:start w:w="120" w:type="dxa"/>
              <w:bottom w:w="80" w:type="dxa"/>
              <w:end w:w="120" w:type="dxa"/>
            </w:tcMar>
            <w:vAlign w:val="center"/>
          </w:tcPr>
          <w:p>
            <w:r>
              <w:rPr>
                <w:sz w:val="18"/>
              </w:rPr>
              <w:t>48.0%</w:t>
            </w:r>
          </w:p>
        </w:tc>
        <w:tc>
          <w:tcPr>
            <w:tcW w:type="dxa" w:w="1152"/>
            <w:tcMar>
              <w:top w:w="80" w:type="dxa"/>
              <w:start w:w="120" w:type="dxa"/>
              <w:bottom w:w="80" w:type="dxa"/>
              <w:end w:w="120" w:type="dxa"/>
            </w:tcMar>
            <w:vAlign w:val="center"/>
          </w:tcPr>
          <w:p>
            <w:r>
              <w:rPr>
                <w:sz w:val="18"/>
              </w:rPr>
              <w:t>0.779</w:t>
            </w:r>
          </w:p>
        </w:tc>
        <w:tc>
          <w:tcPr>
            <w:tcW w:type="dxa" w:w="3168"/>
            <w:tcMar>
              <w:top w:w="80" w:type="dxa"/>
              <w:start w:w="120" w:type="dxa"/>
              <w:bottom w:w="80" w:type="dxa"/>
              <w:end w:w="120" w:type="dxa"/>
            </w:tcMar>
            <w:vAlign w:val="center"/>
          </w:tcPr>
          <w:p>
            <w:r>
              <w:rPr>
                <w:sz w:val="18"/>
              </w:rPr>
              <w:t>cat, meowing, door, speech, person, laughs, laughing, high, bell, occurs</w:t>
            </w:r>
          </w:p>
        </w:tc>
      </w:tr>
    </w:tbl>
    <w:p/>
    <w:p>
      <w:pPr>
        <w:pStyle w:val="Heading1"/>
      </w:pPr>
      <w:r>
        <w:t>4. Key Figures to Review</w:t>
      </w:r>
    </w:p>
    <w:p>
      <w:r>
        <w:t>The figures below are the best places to inspect the new interpret section. The full set is included in the figures folder.</w:t>
      </w:r>
    </w:p>
    <w:p>
      <w:pPr>
        <w:jc w:val="center"/>
      </w:pPr>
      <w:r>
        <w:drawing>
          <wp:inline xmlns:a="http://schemas.openxmlformats.org/drawingml/2006/main" xmlns:pic="http://schemas.openxmlformats.org/drawingml/2006/picture">
            <wp:extent cx="5669280" cy="2810979"/>
            <wp:docPr id="1" name="Picture 1"/>
            <wp:cNvGraphicFramePr>
              <a:graphicFrameLocks noChangeAspect="1"/>
            </wp:cNvGraphicFramePr>
            <a:graphic>
              <a:graphicData uri="http://schemas.openxmlformats.org/drawingml/2006/picture">
                <pic:pic>
                  <pic:nvPicPr>
                    <pic:cNvPr id="0" name="stacked_category_composition.png"/>
                    <pic:cNvPicPr/>
                  </pic:nvPicPr>
                  <pic:blipFill>
                    <a:blip r:embed="rId9"/>
                    <a:stretch>
                      <a:fillRect/>
                    </a:stretch>
                  </pic:blipFill>
                  <pic:spPr>
                    <a:xfrm>
                      <a:off x="0" y="0"/>
                      <a:ext cx="5669280" cy="2810979"/>
                    </a:xfrm>
                    <a:prstGeom prst="rect"/>
                  </pic:spPr>
                </pic:pic>
              </a:graphicData>
            </a:graphic>
          </wp:inline>
        </w:drawing>
      </w:r>
    </w:p>
    <w:p>
      <w:pPr>
        <w:spacing w:after="200"/>
        <w:jc w:val="center"/>
      </w:pPr>
      <w:r>
        <w:rPr>
          <w:i/>
          <w:sz w:val="18"/>
        </w:rPr>
        <w:t>Figure 1. Category composition of the top-50 clips for each BNMF component.</w:t>
      </w:r>
    </w:p>
    <w:p>
      <w:pPr>
        <w:jc w:val="center"/>
      </w:pPr>
      <w:r>
        <w:drawing>
          <wp:inline xmlns:a="http://schemas.openxmlformats.org/drawingml/2006/main" xmlns:pic="http://schemas.openxmlformats.org/drawingml/2006/picture">
            <wp:extent cx="5486400" cy="2717987"/>
            <wp:docPr id="2" name="Picture 2"/>
            <wp:cNvGraphicFramePr>
              <a:graphicFrameLocks noChangeAspect="1"/>
            </wp:cNvGraphicFramePr>
            <a:graphic>
              <a:graphicData uri="http://schemas.openxmlformats.org/drawingml/2006/picture">
                <pic:pic>
                  <pic:nvPicPr>
                    <pic:cNvPr id="0" name="component_purity_entropy.png"/>
                    <pic:cNvPicPr/>
                  </pic:nvPicPr>
                  <pic:blipFill>
                    <a:blip r:embed="rId10"/>
                    <a:stretch>
                      <a:fillRect/>
                    </a:stretch>
                  </pic:blipFill>
                  <pic:spPr>
                    <a:xfrm>
                      <a:off x="0" y="0"/>
                      <a:ext cx="5486400" cy="2717987"/>
                    </a:xfrm>
                    <a:prstGeom prst="rect"/>
                  </pic:spPr>
                </pic:pic>
              </a:graphicData>
            </a:graphic>
          </wp:inline>
        </w:drawing>
      </w:r>
    </w:p>
    <w:p>
      <w:pPr>
        <w:spacing w:after="200"/>
        <w:jc w:val="center"/>
      </w:pPr>
      <w:r>
        <w:rPr>
          <w:i/>
          <w:sz w:val="18"/>
        </w:rPr>
        <w:t>Figure 2. Component purity, sorted from purest to most mixed.</w:t>
      </w:r>
    </w:p>
    <w:p>
      <w:pPr>
        <w:jc w:val="center"/>
      </w:pPr>
      <w:r>
        <w:drawing>
          <wp:inline xmlns:a="http://schemas.openxmlformats.org/drawingml/2006/main" xmlns:pic="http://schemas.openxmlformats.org/drawingml/2006/picture">
            <wp:extent cx="4937760" cy="4142298"/>
            <wp:docPr id="3" name="Picture 3"/>
            <wp:cNvGraphicFramePr>
              <a:graphicFrameLocks noChangeAspect="1"/>
            </wp:cNvGraphicFramePr>
            <a:graphic>
              <a:graphicData uri="http://schemas.openxmlformats.org/drawingml/2006/picture">
                <pic:pic>
                  <pic:nvPicPr>
                    <pic:cNvPr id="0" name="component_coactivation.png"/>
                    <pic:cNvPicPr/>
                  </pic:nvPicPr>
                  <pic:blipFill>
                    <a:blip r:embed="rId11"/>
                    <a:stretch>
                      <a:fillRect/>
                    </a:stretch>
                  </pic:blipFill>
                  <pic:spPr>
                    <a:xfrm>
                      <a:off x="0" y="0"/>
                      <a:ext cx="4937760" cy="4142298"/>
                    </a:xfrm>
                    <a:prstGeom prst="rect"/>
                  </pic:spPr>
                </pic:pic>
              </a:graphicData>
            </a:graphic>
          </wp:inline>
        </w:drawing>
      </w:r>
    </w:p>
    <w:p>
      <w:pPr>
        <w:spacing w:after="200"/>
        <w:jc w:val="center"/>
      </w:pPr>
      <w:r>
        <w:rPr>
          <w:i/>
          <w:sz w:val="18"/>
        </w:rPr>
        <w:t>Figure 3. Component co-activation correlation across clips.</w:t>
      </w:r>
    </w:p>
    <w:p>
      <w:pPr>
        <w:jc w:val="center"/>
      </w:pPr>
      <w:r>
        <w:drawing>
          <wp:inline xmlns:a="http://schemas.openxmlformats.org/drawingml/2006/main" xmlns:pic="http://schemas.openxmlformats.org/drawingml/2006/picture">
            <wp:extent cx="5760720" cy="3148205"/>
            <wp:docPr id="4" name="Picture 4"/>
            <wp:cNvGraphicFramePr>
              <a:graphicFrameLocks noChangeAspect="1"/>
            </wp:cNvGraphicFramePr>
            <a:graphic>
              <a:graphicData uri="http://schemas.openxmlformats.org/drawingml/2006/picture">
                <pic:pic>
                  <pic:nvPicPr>
                    <pic:cNvPr id="0" name="tsne_small_multiples.png"/>
                    <pic:cNvPicPr/>
                  </pic:nvPicPr>
                  <pic:blipFill>
                    <a:blip r:embed="rId12"/>
                    <a:stretch>
                      <a:fillRect/>
                    </a:stretch>
                  </pic:blipFill>
                  <pic:spPr>
                    <a:xfrm>
                      <a:off x="0" y="0"/>
                      <a:ext cx="5760720" cy="3148205"/>
                    </a:xfrm>
                    <a:prstGeom prst="rect"/>
                  </pic:spPr>
                </pic:pic>
              </a:graphicData>
            </a:graphic>
          </wp:inline>
        </w:drawing>
      </w:r>
    </w:p>
    <w:p>
      <w:pPr>
        <w:spacing w:after="200"/>
        <w:jc w:val="center"/>
      </w:pPr>
      <w:r>
        <w:rPr>
          <w:i/>
          <w:sz w:val="18"/>
        </w:rPr>
        <w:t>Figure 4. t-SNE panels colored by per-component activation strength.</w:t>
      </w:r>
    </w:p>
    <w:p>
      <w:pPr>
        <w:pStyle w:val="Heading1"/>
      </w:pPr>
      <w:r>
        <w:t>5. How This Fits the Final Report</w:t>
      </w:r>
    </w:p>
    <w:p>
      <w:r>
        <w:t>My current plan is to keep the earlier classification and developmental results as the empirical foundation, then add this BNMF section as the interpretability bridge. The main claim is modest: AST embeddings contain structured auditory subcategories that are partly aligned with the weak labels but also reveal finer sound concepts and mixed acoustic regularities.</w:t>
      </w:r>
    </w:p>
    <w:p>
      <w:r>
        <w:t>The main open decision is how much of this component analysis should appear in the report body versus an appendix. I would like guidance on which figures are most convincing and whether the component names are clear enough.</w:t>
      </w:r>
    </w:p>
    <w:p>
      <w:pPr>
        <w:pStyle w:val="Heading1"/>
      </w:pPr>
      <w:r>
        <w:t>6. Included Files for Verification</w:t>
      </w:r>
    </w:p>
    <w:tbl>
      <w:tblPr>
        <w:tblStyle w:val="TableGrid"/>
        <w:tblW w:type="auto" w:w="0"/>
        <w:jc w:val="left"/>
        <w:tblLayout w:type="fixed"/>
        <w:tblLook w:firstColumn="1" w:firstRow="1" w:lastColumn="0" w:lastRow="0" w:noHBand="0" w:noVBand="1" w:val="04A0"/>
      </w:tblPr>
      <w:tblGrid>
        <w:gridCol w:w="4680"/>
        <w:gridCol w:w="4680"/>
      </w:tblGrid>
      <w:tr>
        <w:tc>
          <w:tcPr>
            <w:tcW w:type="dxa" w:w="3312"/>
            <w:shd w:fill="E8EEF5"/>
            <w:tcMar>
              <w:top w:w="80" w:type="dxa"/>
              <w:start w:w="120" w:type="dxa"/>
              <w:bottom w:w="80" w:type="dxa"/>
              <w:end w:w="120" w:type="dxa"/>
            </w:tcMar>
            <w:vAlign w:val="center"/>
          </w:tcPr>
          <w:p>
            <w:r>
              <w:rPr>
                <w:b/>
                <w:sz w:val="19"/>
              </w:rPr>
              <w:t>File</w:t>
            </w:r>
          </w:p>
        </w:tc>
        <w:tc>
          <w:tcPr>
            <w:tcW w:type="dxa" w:w="5760"/>
            <w:shd w:fill="E8EEF5"/>
            <w:tcMar>
              <w:top w:w="80" w:type="dxa"/>
              <w:start w:w="120" w:type="dxa"/>
              <w:bottom w:w="80" w:type="dxa"/>
              <w:end w:w="120" w:type="dxa"/>
            </w:tcMar>
            <w:vAlign w:val="center"/>
          </w:tcPr>
          <w:p>
            <w:r>
              <w:rPr>
                <w:b/>
                <w:sz w:val="19"/>
              </w:rPr>
              <w:t>Reason included</w:t>
            </w:r>
          </w:p>
        </w:tc>
      </w:tr>
      <w:tr>
        <w:tc>
          <w:tcPr>
            <w:tcW w:type="dxa" w:w="3312"/>
            <w:tcMar>
              <w:top w:w="80" w:type="dxa"/>
              <w:start w:w="120" w:type="dxa"/>
              <w:bottom w:w="80" w:type="dxa"/>
              <w:end w:w="120" w:type="dxa"/>
            </w:tcMar>
            <w:vAlign w:val="center"/>
          </w:tcPr>
          <w:p>
            <w:r>
              <w:rPr>
                <w:sz w:val="18"/>
              </w:rPr>
              <w:t>capstone_bnmf_analysis.ipynb</w:t>
            </w:r>
          </w:p>
        </w:tc>
        <w:tc>
          <w:tcPr>
            <w:tcW w:type="dxa" w:w="5760"/>
            <w:tcMar>
              <w:top w:w="80" w:type="dxa"/>
              <w:start w:w="120" w:type="dxa"/>
              <w:bottom w:w="80" w:type="dxa"/>
              <w:end w:w="120" w:type="dxa"/>
            </w:tcMar>
            <w:vAlign w:val="center"/>
          </w:tcPr>
          <w:p>
            <w:r>
              <w:rPr>
                <w:sz w:val="18"/>
              </w:rPr>
              <w:t>Extended notebook with the new interpretation analysis</w:t>
            </w:r>
          </w:p>
        </w:tc>
      </w:tr>
      <w:tr>
        <w:tc>
          <w:tcPr>
            <w:tcW w:type="dxa" w:w="3312"/>
            <w:tcMar>
              <w:top w:w="80" w:type="dxa"/>
              <w:start w:w="120" w:type="dxa"/>
              <w:bottom w:w="80" w:type="dxa"/>
              <w:end w:w="120" w:type="dxa"/>
            </w:tcMar>
            <w:vAlign w:val="center"/>
          </w:tcPr>
          <w:p>
            <w:r>
              <w:rPr>
                <w:sz w:val="18"/>
              </w:rPr>
              <w:t>component_purity.csv</w:t>
            </w:r>
          </w:p>
        </w:tc>
        <w:tc>
          <w:tcPr>
            <w:tcW w:type="dxa" w:w="5760"/>
            <w:tcMar>
              <w:top w:w="80" w:type="dxa"/>
              <w:start w:w="120" w:type="dxa"/>
              <w:bottom w:w="80" w:type="dxa"/>
              <w:end w:w="120" w:type="dxa"/>
            </w:tcMar>
            <w:vAlign w:val="center"/>
          </w:tcPr>
          <w:p>
            <w:r>
              <w:rPr>
                <w:sz w:val="18"/>
              </w:rPr>
              <w:t>Component purity and entropy summary</w:t>
            </w:r>
          </w:p>
        </w:tc>
      </w:tr>
      <w:tr>
        <w:tc>
          <w:tcPr>
            <w:tcW w:type="dxa" w:w="3312"/>
            <w:tcMar>
              <w:top w:w="80" w:type="dxa"/>
              <w:start w:w="120" w:type="dxa"/>
              <w:bottom w:w="80" w:type="dxa"/>
              <w:end w:w="120" w:type="dxa"/>
            </w:tcMar>
            <w:vAlign w:val="center"/>
          </w:tcPr>
          <w:p>
            <w:r>
              <w:rPr>
                <w:sz w:val="18"/>
              </w:rPr>
              <w:t>component_top_words.csv</w:t>
            </w:r>
          </w:p>
        </w:tc>
        <w:tc>
          <w:tcPr>
            <w:tcW w:type="dxa" w:w="5760"/>
            <w:tcMar>
              <w:top w:w="80" w:type="dxa"/>
              <w:start w:w="120" w:type="dxa"/>
              <w:bottom w:w="80" w:type="dxa"/>
              <w:end w:w="120" w:type="dxa"/>
            </w:tcMar>
            <w:vAlign w:val="center"/>
          </w:tcPr>
          <w:p>
            <w:r>
              <w:rPr>
                <w:sz w:val="18"/>
              </w:rPr>
              <w:t>TF-IDF words used to label components</w:t>
            </w:r>
          </w:p>
        </w:tc>
      </w:tr>
      <w:tr>
        <w:tc>
          <w:tcPr>
            <w:tcW w:type="dxa" w:w="3312"/>
            <w:tcMar>
              <w:top w:w="80" w:type="dxa"/>
              <w:start w:w="120" w:type="dxa"/>
              <w:bottom w:w="80" w:type="dxa"/>
              <w:end w:w="120" w:type="dxa"/>
            </w:tcMar>
            <w:vAlign w:val="center"/>
          </w:tcPr>
          <w:p>
            <w:r>
              <w:rPr>
                <w:sz w:val="18"/>
              </w:rPr>
              <w:t>09_bnmf_interpret.py</w:t>
            </w:r>
          </w:p>
        </w:tc>
        <w:tc>
          <w:tcPr>
            <w:tcW w:type="dxa" w:w="5760"/>
            <w:tcMar>
              <w:top w:w="80" w:type="dxa"/>
              <w:start w:w="120" w:type="dxa"/>
              <w:bottom w:w="80" w:type="dxa"/>
              <w:end w:w="120" w:type="dxa"/>
            </w:tcMar>
            <w:vAlign w:val="center"/>
          </w:tcPr>
          <w:p>
            <w:r>
              <w:rPr>
                <w:sz w:val="18"/>
              </w:rPr>
              <w:t>Script that runs BIC search, consensus BNMF, and base visualizations</w:t>
            </w:r>
          </w:p>
        </w:tc>
      </w:tr>
      <w:tr>
        <w:tc>
          <w:tcPr>
            <w:tcW w:type="dxa" w:w="3312"/>
            <w:tcMar>
              <w:top w:w="80" w:type="dxa"/>
              <w:start w:w="120" w:type="dxa"/>
              <w:bottom w:w="80" w:type="dxa"/>
              <w:end w:w="120" w:type="dxa"/>
            </w:tcMar>
            <w:vAlign w:val="center"/>
          </w:tcPr>
          <w:p>
            <w:r>
              <w:rPr>
                <w:sz w:val="18"/>
              </w:rPr>
              <w:t>make_analysis_notebook.py</w:t>
            </w:r>
          </w:p>
        </w:tc>
        <w:tc>
          <w:tcPr>
            <w:tcW w:type="dxa" w:w="5760"/>
            <w:tcMar>
              <w:top w:w="80" w:type="dxa"/>
              <w:start w:w="120" w:type="dxa"/>
              <w:bottom w:w="80" w:type="dxa"/>
              <w:end w:w="120" w:type="dxa"/>
            </w:tcMar>
            <w:vAlign w:val="center"/>
          </w:tcPr>
          <w:p>
            <w:r>
              <w:rPr>
                <w:sz w:val="18"/>
              </w:rPr>
              <w:t>Script that builds the extended interpretation notebook</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76" w:lineRule="auto"/>
      <w:outlineLvl w:val="0"/>
    </w:pPr>
    <w:rPr>
      <w:rFonts w:asciiTheme="majorHAnsi" w:eastAsiaTheme="majorEastAsia" w:hAnsiTheme="majorHAnsi" w:cstheme="majorBidi" w:ascii="Arial" w:hAnsi="Arial" w:eastAsia="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80" w:line="276" w:lineRule="auto"/>
      <w:outlineLvl w:val="1"/>
    </w:pPr>
    <w:rPr>
      <w:rFonts w:asciiTheme="majorHAnsi" w:eastAsiaTheme="majorEastAsia" w:hAnsiTheme="majorHAnsi" w:cstheme="majorBidi" w:ascii="Arial" w:hAnsi="Arial" w:eastAsia="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80" w:line="276" w:lineRule="auto"/>
      <w:outlineLvl w:val="2"/>
    </w:pPr>
    <w:rPr>
      <w:rFonts w:asciiTheme="majorHAnsi" w:eastAsiaTheme="majorEastAsia" w:hAnsiTheme="majorHAnsi" w:cstheme="majorBidi" w:ascii="Arial" w:hAnsi="Arial" w:eastAsia="Arial"/>
      <w:b/>
      <w:bCs/>
      <w:color w:val="4343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76" w:lineRule="auto" w:before="0"/>
      <w:contextualSpacing/>
    </w:pPr>
    <w:rPr>
      <w:rFonts w:asciiTheme="majorHAnsi" w:eastAsiaTheme="majorEastAsia" w:hAnsiTheme="majorHAnsi" w:cstheme="majorBidi" w:ascii="Arial" w:hAnsi="Arial" w:eastAsia="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76" w:lineRule="auto"/>
    </w:pPr>
    <w:rPr>
      <w:rFonts w:asciiTheme="majorHAnsi" w:eastAsiaTheme="majorEastAsia" w:hAnsiTheme="majorHAnsi" w:cstheme="majorBidi" w:ascii="Arial" w:hAnsi="Arial" w:eastAsia="Arial"/>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