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 There a Gender Pay Gap? Evidence from 11,187 Large UK Employers</w:t>
      </w:r>
    </w:p>
    <w:p>
      <w:pPr>
        <w:pStyle w:val="Author"/>
      </w:pPr>
      <w:r>
        <w:t xml:space="preserve">Deyu Wang (5796695)</w:t>
      </w:r>
    </w:p>
    <w:p>
      <w:pPr>
        <w:pStyle w:val="Date"/>
      </w:pPr>
      <w:r>
        <w:t xml:space="preserve">12 </w:t>
      </w:r>
      <w:r>
        <w:rPr>
          <w:rFonts w:hint="eastAsia"/>
        </w:rPr>
        <w:t xml:space="preserve">十月</w:t>
      </w:r>
      <w:r>
        <w:t xml:space="preserve"> 2026</w:t>
      </w:r>
    </w:p>
    <w:bookmarkStart w:id="9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Data were taken from the UK Government’s gender pay gap service for the</w:t>
      </w:r>
      <w:r>
        <w:t xml:space="preserve"> </w:t>
      </w:r>
      <w:r>
        <w:t xml:space="preserve">2025-26 reporting year. Reporting is compulsory for every UK employer with</w:t>
      </w:r>
      <w:r>
        <w:t xml:space="preserve"> </w:t>
      </w:r>
      <w:r>
        <w:t xml:space="preserve">250 or more employees, so the file is closer to a census of large employers</w:t>
      </w:r>
      <w:r>
        <w:t xml:space="preserve"> </w:t>
      </w:r>
      <w:r>
        <w:t xml:space="preserve">than to a sample of them. The analysis used the complete set of</w:t>
      </w:r>
      <w:r>
        <w:t xml:space="preserve"> </w:t>
      </w:r>
      <w:r>
        <w:t xml:space="preserve">11,187 employer returns; no employer was excluded and there</w:t>
      </w:r>
      <w:r>
        <w:t xml:space="preserve"> </w:t>
      </w:r>
      <w:r>
        <w:t xml:space="preserve">were no missing values on the outcome.</w:t>
      </w:r>
    </w:p>
    <w:p>
      <w:pPr>
        <w:pStyle w:val="BodyText"/>
      </w:pPr>
      <w:r>
        <w:t xml:space="preserve">The outcome was each employer’s mean hourly gender pay gap, defined by the</w:t>
      </w:r>
      <w:r>
        <w:t xml:space="preserve"> </w:t>
      </w:r>
      <w:r>
        <w:t xml:space="preserve">reporting service as the difference between the male and the female mean</w:t>
      </w:r>
      <w:r>
        <w:t xml:space="preserve"> </w:t>
      </w:r>
      <w:r>
        <w:t xml:space="preserve">hourly rate, expressed as a percentage of the male rate. Positive values</w:t>
      </w:r>
      <w:r>
        <w:t xml:space="preserve"> </w:t>
      </w:r>
      <w:r>
        <w:t xml:space="preserve">therefore mean that women at that employer were paid less per hour, on</w:t>
      </w:r>
      <w:r>
        <w:t xml:space="preserve"> </w:t>
      </w:r>
      <w:r>
        <w:t xml:space="preserve">average, than men. The unit of analysis is the employer rather than the</w:t>
      </w:r>
      <w:r>
        <w:t xml:space="preserve"> </w:t>
      </w:r>
      <w:r>
        <w:t xml:space="preserve">employee: each employer contributes one value regardless of its headcount.</w:t>
      </w:r>
    </w:p>
    <w:p>
      <w:pPr>
        <w:pStyle w:val="BodyText"/>
      </w:pPr>
      <w:r>
        <w:t xml:space="preserve">For the sector comparison, employers were classified using their reporting</w:t>
      </w:r>
      <w:r>
        <w:t xml:space="preserve"> </w:t>
      </w:r>
      <w:r>
        <w:t xml:space="preserve">deadline, since public sector employers were required to report by 31 March</w:t>
      </w:r>
      <w:r>
        <w:t xml:space="preserve"> </w:t>
      </w:r>
      <w:r>
        <w:t xml:space="preserve">2026 and businesses and charities by 5 April 2026.</w:t>
      </w:r>
    </w:p>
    <w:p>
      <w:pPr>
        <w:pStyle w:val="BodyText"/>
      </w:pPr>
      <w:r>
        <w:t xml:space="preserve">All analyses were conducted in R. Two-tailed tests were used throughout, with</w:t>
      </w:r>
      <w:r>
        <w:t xml:space="preserve"> </w:t>
      </w:r>
      <w:r>
        <w:t xml:space="preserve">alpha set at .05.</w:t>
      </w:r>
    </w:p>
    <w:bookmarkEnd w:id="9"/>
    <w:bookmarkStart w:id="18" w:name="results"/>
    <w:p>
      <w:pPr>
        <w:pStyle w:val="Heading2"/>
      </w:pPr>
      <w:r>
        <w:t xml:space="preserve">Results</w:t>
      </w:r>
    </w:p>
    <w:bookmarkStart w:id="13" w:name="the-overall-pay-gap"/>
    <w:p>
      <w:pPr>
        <w:pStyle w:val="Heading3"/>
      </w:pPr>
      <w:r>
        <w:t xml:space="preserve">The overall pay gap</w:t>
      </w:r>
    </w:p>
    <w:p>
      <w:pPr>
        <w:pStyle w:val="FirstParagraph"/>
      </w:pPr>
      <w:r>
        <w:t xml:space="preserve">Across the 11,187 employers, the mean hourly gender pay gap</w:t>
      </w:r>
      <w:r>
        <w:t xml:space="preserve"> </w:t>
      </w:r>
      <w:r>
        <w:t xml:space="preserve">was 11.50% in women’s disfavour (</w:t>
      </w:r>
      <w:r>
        <w:rPr>
          <w:i/>
          <w:iCs/>
        </w:rPr>
        <w:t xml:space="preserve">SD</w:t>
      </w:r>
      <w:r>
        <w:t xml:space="preserve"> </w:t>
      </w:r>
      <w:r>
        <w:t xml:space="preserve">= 15.99,</w:t>
      </w:r>
      <w:r>
        <w:t xml:space="preserve"> </w:t>
      </w:r>
      <w:r>
        <w:rPr>
          <w:i/>
          <w:iCs/>
        </w:rPr>
        <w:t xml:space="preserve">Mdn</w:t>
      </w:r>
      <w:r>
        <w:t xml:space="preserve"> </w:t>
      </w:r>
      <w:r>
        <w:t xml:space="preserve">= 10.64%). The distribution is shown in Figure 1. It is</w:t>
      </w:r>
      <w:r>
        <w:t xml:space="preserve"> </w:t>
      </w:r>
      <w:r>
        <w:t xml:space="preserve">centred clearly to the right of parity: women were paid less per hour at</w:t>
      </w:r>
      <w:r>
        <w:t xml:space="preserve"> </w:t>
      </w:r>
      <w:r>
        <w:t xml:space="preserve">85.01% of employers and more at only 14.43%.</w:t>
      </w:r>
    </w:p>
    <w:p>
      <w:pPr>
        <w:pStyle w:val="CaptionedFigure"/>
      </w:pPr>
      <w:r>
        <w:drawing>
          <wp:inline>
            <wp:extent cx="5334000" cy="3282461"/>
            <wp:effectExtent b="0" l="0" r="0" t="0"/>
            <wp:docPr descr="Figure 1. Distribution of the mean hourly gender pay gap across 11,187 UK employers, 2025-26 reporting year. Positive values indicate that women are paid less per hour than men. The dashed line marks parity and the solid line the mean gap. The x axis is clipped at -40% and +60% for legibility; 121 employers fall outside this range and are retained in all analyses." title="" id="11" name="Picture"/>
            <a:graphic>
              <a:graphicData uri="http://schemas.openxmlformats.org/drawingml/2006/picture">
                <pic:pic>
                  <pic:nvPicPr>
                    <pic:cNvPr descr="gender_pay_gap_writeup_files/figure-docx/figure-1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Distribution of the mean hourly gender pay gap across 11,187 UK employers, 2025-26 reporting year. Positive values indicate that women are paid less per hour than men. The dashed line marks parity and the solid line the mean gap. The x axis is clipped at -40% and +60% for legibility; 121 employers fall outside this range and are retained in all analyses.</w:t>
      </w:r>
    </w:p>
    <w:p>
      <w:pPr>
        <w:pStyle w:val="BodyText"/>
      </w:pPr>
      <w:r>
        <w:t xml:space="preserve">A one-sample</w:t>
      </w:r>
      <w:r>
        <w:t xml:space="preserve"> </w:t>
      </w:r>
      <w:r>
        <w:rPr>
          <w:i/>
          <w:iCs/>
        </w:rPr>
        <w:t xml:space="preserve">t</w:t>
      </w:r>
      <w:r>
        <w:t xml:space="preserve">-test compared the mean employer-level gap against the value</w:t>
      </w:r>
      <w:r>
        <w:t xml:space="preserve"> </w:t>
      </w:r>
      <w:r>
        <w:t xml:space="preserve">of 0% that equal average hourly pay would produce. Women at large UK</w:t>
      </w:r>
      <w:r>
        <w:t xml:space="preserve"> </w:t>
      </w:r>
      <w:r>
        <w:t xml:space="preserve">employers were paid significantly less per hour than men: the mean gap of</w:t>
      </w:r>
      <w:r>
        <w:t xml:space="preserve"> </w:t>
      </w:r>
      <w:r>
        <w:t xml:space="preserve">11.50% was reliably greater than zero,</w:t>
      </w:r>
      <w:r>
        <w:t xml:space="preserve"> </w:t>
      </w:r>
      <w:r>
        <w:rPr>
          <w:i/>
          <w:iCs/>
        </w:rPr>
        <w:t xml:space="preserve">t</w:t>
      </w:r>
      <w:r>
        <w:t xml:space="preserve">(11186) = 76.06,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.001,</w:t>
      </w:r>
      <w:r>
        <w:t xml:space="preserve"> </w:t>
      </w:r>
      <w:r>
        <w:t xml:space="preserve">95% CI [11.20, 11.80],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0.72. In practical terms,</w:t>
      </w:r>
      <w:r>
        <w:t xml:space="preserve"> </w:t>
      </w:r>
      <w:r>
        <w:t xml:space="preserve">a typical large UK employer pays women about 11.50 pence less for</w:t>
      </w:r>
      <w:r>
        <w:t xml:space="preserve"> </w:t>
      </w:r>
      <w:r>
        <w:t xml:space="preserve">every pound it pays men.</w:t>
      </w:r>
    </w:p>
    <w:bookmarkEnd w:id="13"/>
    <w:bookmarkStart w:id="17" w:name="X55670608f64190784e3822f4bb0f0814f394a45"/>
    <w:p>
      <w:pPr>
        <w:pStyle w:val="Heading3"/>
      </w:pPr>
      <w:r>
        <w:t xml:space="preserve">Public sector versus business and charity</w:t>
      </w:r>
    </w:p>
    <w:p>
      <w:pPr>
        <w:pStyle w:val="FirstParagraph"/>
      </w:pPr>
      <w:r>
        <w:t xml:space="preserve">Descriptive statistics by sector are given in Table 1.</w:t>
      </w:r>
    </w:p>
    <w:p>
      <w:pPr>
        <w:pStyle w:val="TableCaption"/>
      </w:pPr>
      <w:r>
        <w:t xml:space="preserve">Table 1. Mean hourly gender pay gap by sector.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Mean hourly gender pay gap by sector."/>
      </w:tblPr>
      <w:tblGrid>
        <w:gridCol w:w="2119"/>
        <w:gridCol w:w="557"/>
        <w:gridCol w:w="669"/>
        <w:gridCol w:w="669"/>
        <w:gridCol w:w="892"/>
        <w:gridCol w:w="1003"/>
        <w:gridCol w:w="20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favouring women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/ Charity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</w:t>
            </w:r>
          </w:p>
        </w:tc>
      </w:tr>
    </w:tbl>
    <w:p>
      <w:pPr>
        <w:pStyle w:val="CaptionedFigure"/>
      </w:pPr>
      <w:r>
        <w:drawing>
          <wp:inline>
            <wp:extent cx="5334000" cy="3282461"/>
            <wp:effectExtent b="0" l="0" r="0" t="0"/>
            <wp:docPr descr="Figure 2. Mean hourly gender pay gap by sector. Violins show the shape of each distribution, boxes the median and interquartile range, and white diamonds the sector means with 95% confidence intervals. The y axis is clipped at -30% and +50% for legibility; all observations are retained in the analysis." title="" id="15" name="Picture"/>
            <a:graphic>
              <a:graphicData uri="http://schemas.openxmlformats.org/drawingml/2006/picture">
                <pic:pic>
                  <pic:nvPicPr>
                    <pic:cNvPr descr="gender_pay_gap_writeup_files/figure-docx/figure-2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Mean hourly gender pay gap by sector. Violins show the shape of each distribution, boxes the median and interquartile range, and white diamonds the sector means with 95% confidence intervals. The y axis is clipped at -30% and +50% for legibility; all observations are retained in the analysis.</w:t>
      </w:r>
    </w:p>
    <w:p>
      <w:pPr>
        <w:pStyle w:val="BodyText"/>
      </w:pPr>
      <w:r>
        <w:t xml:space="preserve">Contrary to the expectation that public bodies would perform better, public</w:t>
      </w:r>
      <w:r>
        <w:t xml:space="preserve"> </w:t>
      </w:r>
      <w:r>
        <w:t xml:space="preserve">sector employers reported a significantly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mean hourly pay gap</w:t>
      </w:r>
      <w:r>
        <w:t xml:space="preserve"> </w:t>
      </w:r>
      <w:r>
        <w:t xml:space="preserve">(</w:t>
      </w:r>
      <w:r>
        <w:rPr>
          <w:i/>
          <w:iCs/>
        </w:rPr>
        <w:t xml:space="preserve">M</w:t>
      </w:r>
      <w:r>
        <w:t xml:space="preserve"> </w:t>
      </w:r>
      <w:r>
        <w:t xml:space="preserve">= 13.35%,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10.42,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1,945) than</w:t>
      </w:r>
      <w:r>
        <w:t xml:space="preserve"> </w:t>
      </w:r>
      <w:r>
        <w:t xml:space="preserve">businesses and charities (</w:t>
      </w:r>
      <w:r>
        <w:rPr>
          <w:i/>
          <w:iCs/>
        </w:rPr>
        <w:t xml:space="preserve">M</w:t>
      </w:r>
      <w:r>
        <w:t xml:space="preserve"> </w:t>
      </w:r>
      <w:r>
        <w:t xml:space="preserve">= 11.11%,</w:t>
      </w:r>
      <w:r>
        <w:t xml:space="preserve"> </w:t>
      </w:r>
      <w:r>
        <w:rPr>
          <w:i/>
          <w:iCs/>
        </w:rPr>
        <w:t xml:space="preserve">SD</w:t>
      </w:r>
      <w:r>
        <w:t xml:space="preserve"> </w:t>
      </w:r>
      <w:r>
        <w:t xml:space="preserve">= 16.91,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9,242). The difference of 2.23</w:t>
      </w:r>
      <w:r>
        <w:t xml:space="preserve"> </w:t>
      </w:r>
      <w:r>
        <w:t xml:space="preserve">percentage points was statistically significant,</w:t>
      </w:r>
      <w:r>
        <w:t xml:space="preserve"> </w:t>
      </w:r>
      <w:r>
        <w:t xml:space="preserve">Welch’s</w:t>
      </w:r>
      <w:r>
        <w:t xml:space="preserve"> </w:t>
      </w:r>
      <w:r>
        <w:rPr>
          <w:i/>
          <w:iCs/>
        </w:rPr>
        <w:t xml:space="preserve">t</w:t>
      </w:r>
      <w:r>
        <w:t xml:space="preserve">(4413.10) = 7.58,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.001,</w:t>
      </w:r>
      <w:r>
        <w:t xml:space="preserve"> </w:t>
      </w:r>
      <w:r>
        <w:t xml:space="preserve">95% CI [1.66, 2.81],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= 0.14. Welch’s test was</w:t>
      </w:r>
      <w:r>
        <w:t xml:space="preserve"> </w:t>
      </w:r>
      <w:r>
        <w:t xml:space="preserve">used because the two groups had unequal variances.</w:t>
      </w:r>
    </w:p>
    <w:p>
      <w:pPr>
        <w:pStyle w:val="BodyText"/>
      </w:pPr>
      <w:r>
        <w:t xml:space="preserve">The difference in standard deviations is not evidence of a generally wider</w:t>
      </w:r>
      <w:r>
        <w:t xml:space="preserve"> </w:t>
      </w:r>
      <w:r>
        <w:t xml:space="preserve">spread among businesses and charities. It comes from a small number of</w:t>
      </w:r>
      <w:r>
        <w:t xml:space="preserve"> </w:t>
      </w:r>
      <w:r>
        <w:t xml:space="preserve">extreme returns in that group, including the minimum value of</w:t>
      </w:r>
      <w:r>
        <w:t xml:space="preserve"> </w:t>
      </w:r>
      <w:r>
        <w:t xml:space="preserve">-757.00%; the interquartile ranges were very similar</w:t>
      </w:r>
      <w:r>
        <w:t xml:space="preserve"> </w:t>
      </w:r>
      <w:r>
        <w:t xml:space="preserve">(15.81 against 14.40 percentage points). What did differ</w:t>
      </w:r>
      <w:r>
        <w:t xml:space="preserve"> </w:t>
      </w:r>
      <w:r>
        <w:t xml:space="preserve">was how consistently the gap ran against women, which it did at all but</w:t>
      </w:r>
      <w:r>
        <w:t xml:space="preserve"> </w:t>
      </w:r>
      <w:r>
        <w:t xml:space="preserve">15.76% of businesses and charities and all but 8.07% of</w:t>
      </w:r>
      <w:r>
        <w:t xml:space="preserve"> </w:t>
      </w:r>
      <w:r>
        <w:t xml:space="preserve">public sector employers.</w:t>
      </w:r>
    </w:p>
    <w:bookmarkEnd w:id="17"/>
    <w:bookmarkEnd w:id="18"/>
    <w:bookmarkStart w:id="19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Among large UK employers in 2025-26 there is a gender pay gap, it runs</w:t>
      </w:r>
      <w:r>
        <w:t xml:space="preserve"> </w:t>
      </w:r>
      <w:r>
        <w:t xml:space="preserve">against women, and the hypothesis of average parity can be rejected. A mean</w:t>
      </w:r>
      <w:r>
        <w:t xml:space="preserve"> </w:t>
      </w:r>
      <w:r>
        <w:t xml:space="preserve">gap of 11.50% is also a substantial difference in hourly pay, not</w:t>
      </w:r>
      <w:r>
        <w:t xml:space="preserve"> </w:t>
      </w:r>
      <w:r>
        <w:t xml:space="preserve">just a detectable one, and it is found at roughly six employers in every</w:t>
      </w:r>
      <w:r>
        <w:t xml:space="preserve"> </w:t>
      </w:r>
      <w:r>
        <w:t xml:space="preserve">seven.</w:t>
      </w:r>
    </w:p>
    <w:p>
      <w:pPr>
        <w:pStyle w:val="BodyText"/>
      </w:pPr>
      <w:r>
        <w:t xml:space="preserve">Three limitations apply. The unit of analysis is the employer, so every</w:t>
      </w:r>
      <w:r>
        <w:t xml:space="preserve"> </w:t>
      </w:r>
      <w:r>
        <w:t xml:space="preserve">employer counts equally whether it employs 250 people or 250,000; this is the</w:t>
      </w:r>
      <w:r>
        <w:t xml:space="preserve"> </w:t>
      </w:r>
      <w:r>
        <w:t xml:space="preserve">mean of employer gaps rather than the gap facing the average UK worker. The</w:t>
      </w:r>
      <w:r>
        <w:t xml:space="preserve"> </w:t>
      </w:r>
      <w:r>
        <w:t xml:space="preserve">reported gap is also a raw difference in average hourly pay rather than a</w:t>
      </w:r>
      <w:r>
        <w:t xml:space="preserve"> </w:t>
      </w:r>
      <w:r>
        <w:t xml:space="preserve">measure of equal pay for equal work, so it combines unequal pay for</w:t>
      </w:r>
      <w:r>
        <w:t xml:space="preserve"> </w:t>
      </w:r>
      <w:r>
        <w:t xml:space="preserve">comparable roles with occupational segregation, meaning who occupies the</w:t>
      </w:r>
      <w:r>
        <w:t xml:space="preserve"> </w:t>
      </w:r>
      <w:r>
        <w:t xml:space="preserve">senior and the junior positions. Finally, the figures are self-reported, and</w:t>
      </w:r>
      <w:r>
        <w:t xml:space="preserve"> </w:t>
      </w:r>
      <w:r>
        <w:t xml:space="preserve">only employers with 250 or more staff are required to report, so smaller</w:t>
      </w:r>
      <w:r>
        <w:t xml:space="preserve"> </w:t>
      </w:r>
      <w:r>
        <w:t xml:space="preserve">employers are absent entirely.</w:t>
      </w:r>
    </w:p>
    <w:p>
      <w:pPr>
        <w:pStyle w:val="BodyText"/>
      </w:pPr>
      <w:r>
        <w:t xml:space="preserve">The sector comparison needs one further caution. The classification rests on</w:t>
      </w:r>
      <w:r>
        <w:t xml:space="preserve"> </w:t>
      </w:r>
      <w:r>
        <w:t xml:space="preserve">the reporting deadline, which is a reliable but indirect marker of sector,</w:t>
      </w:r>
      <w:r>
        <w:t xml:space="preserve"> </w:t>
      </w:r>
      <w:r>
        <w:t xml:space="preserve">and the standardised difference between sectors is small. The conclusion to</w:t>
      </w:r>
      <w:r>
        <w:t xml:space="preserve"> </w:t>
      </w:r>
      <w:r>
        <w:t xml:space="preserve">draw is that the public sector is not the better performer here, not that it</w:t>
      </w:r>
      <w:r>
        <w:t xml:space="preserve"> </w:t>
      </w:r>
      <w:r>
        <w:t xml:space="preserve">is markedly worse.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There a Gender Pay Gap? Evidence from 11,187 Large UK Employers</dc:title>
  <dc:creator>Deyu Wang (5796695)</dc:creator>
  <cp:keywords/>
  <dcterms:created xsi:type="dcterms:W3CDTF">2026-10-11T23:20:18Z</dcterms:created>
  <dcterms:modified xsi:type="dcterms:W3CDTF">2026-10-11T23:20:18Z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十月 2026</vt:lpwstr>
  </property>
  <property fmtid="{D5CDD505-2E9C-101B-9397-08002B2CF9AE}" pid="3" name="output">
    <vt:lpwstr/>
  </property>
</Properties>
</file>