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Dezenmart Backend — Continuity &amp; Technical Overview PRD</w:t>
      </w:r>
    </w:p>
    <w:p>
      <w:pPr>
        <w:pStyle w:val="BodyText"/>
        <w:bidi w:val="0"/>
        <w:jc w:val="left"/>
        <w:rPr/>
      </w:pPr>
      <w:r>
        <w:rPr>
          <w:rStyle w:val="Strong"/>
        </w:rPr>
        <w:t>Purpose of this document:</w:t>
      </w:r>
      <w:r>
        <w:rPr/>
        <w:t xml:space="preserve"> enable any engineer with no prior context to understand the system, keep it running, and continue development if the primary maintainer is unreachable for 24+ hours or longer. This is not a feature spec — it's an operational map of what exists, how it fits together, where the risk is, and what to do first in an emergency.</w:t>
      </w:r>
    </w:p>
    <w:p>
      <w:pPr>
        <w:pStyle w:val="BodyText"/>
        <w:bidi w:val="0"/>
        <w:jc w:val="left"/>
        <w:rPr/>
      </w:pPr>
      <w:r>
        <w:rPr>
          <w:rStyle w:val="Strong"/>
        </w:rPr>
        <w:t>Last updated:</w:t>
      </w:r>
      <w:r>
        <w:rPr/>
        <w:t xml:space="preserve"> 2026-07-15 (reflects </w:t>
      </w:r>
      <w:r>
        <w:rPr>
          <w:rStyle w:val="SourceText"/>
        </w:rPr>
        <w:t>main</w:t>
      </w:r>
      <w:r>
        <w:rPr/>
        <w:t xml:space="preserve"> at commit </w:t>
      </w:r>
      <w:r>
        <w:rPr>
          <w:rStyle w:val="SourceText"/>
        </w:rPr>
        <w:t>e671048</w:t>
      </w:r>
      <w:r>
        <w:rPr/>
        <w:t xml:space="preserve">, including uncommitted local changes to the Quidax ramp feature — see </w:t>
      </w:r>
      <w:hyperlink w:anchor="in-flight-work">
        <w:r>
          <w:rPr>
            <w:rStyle w:val="Hyperlink"/>
          </w:rPr>
          <w:t>In-Flight Work</w:t>
        </w:r>
      </w:hyperlink>
      <w:r>
        <w:rPr/>
        <w:t>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Dezenmart Is</w:t>
      </w:r>
    </w:p>
    <w:p>
      <w:pPr>
        <w:pStyle w:val="BodyText"/>
        <w:bidi w:val="0"/>
        <w:jc w:val="left"/>
        <w:rPr/>
      </w:pPr>
      <w:r>
        <w:rPr/>
        <w:t>Dezenmart is a crypto-native marketplace backend. Buyers and sellers trade goods with payment settled on-chain (Celo network, stablecoins), with logistics/delivery tracking, an off-chain reward/referral points economy, and fiat on/off-ramp support so users can move between local currency and stablecoins without leaving the app.</w:t>
      </w:r>
    </w:p>
    <w:p>
      <w:pPr>
        <w:pStyle w:val="BodyText"/>
        <w:widowControl w:val="false"/>
        <w:suppressAutoHyphens w:val="true"/>
        <w:bidi w:val="0"/>
        <w:spacing w:lineRule="auto" w:line="336" w:before="0" w:after="283"/>
        <w:ind w:hanging="0" w:left="0" w:right="540"/>
        <w:jc w:val="left"/>
        <w:rPr/>
      </w:pPr>
      <w:r>
        <w:rPr/>
        <w:t xml:space="preserve">Four frontends consume this single backend (see </w:t>
      </w:r>
      <w:r>
        <w:rPr>
          <w:rStyle w:val="SourceText"/>
        </w:rPr>
        <w:t>DEZENMART_FRONTEND_URL</w:t>
      </w:r>
      <w:r>
        <w:rPr/>
        <w:t xml:space="preserve">, </w:t>
      </w:r>
      <w:r>
        <w:rPr>
          <w:rStyle w:val="SourceText"/>
        </w:rPr>
        <w:t>DEZENTRA_FRONTEND_URL</w:t>
      </w:r>
      <w:r>
        <w:rPr/>
        <w:t xml:space="preserve">, </w:t>
      </w:r>
      <w:r>
        <w:rPr>
          <w:rStyle w:val="SourceText"/>
        </w:rPr>
        <w:t>DEZENEXPRESS_FRONTEND_URL</w:t>
      </w:r>
      <w:r>
        <w:rPr/>
        <w:t xml:space="preserve">, </w:t>
      </w:r>
      <w:r>
        <w:rPr>
          <w:rStyle w:val="SourceText"/>
        </w:rPr>
        <w:t>LOGISTICS_FRONTEND_URL</w:t>
      </w:r>
      <w:r>
        <w:rPr/>
        <w:t xml:space="preserve"> in env) — a buyer/seller marketplace app, a companion app, an express variant, and a logistics-provider portal.</w:t>
      </w:r>
    </w:p>
    <w:p>
      <w:pPr>
        <w:pStyle w:val="BodyText"/>
        <w:bidi w:val="0"/>
        <w:jc w:val="left"/>
        <w:rPr/>
      </w:pPr>
      <w:r>
        <w:rPr/>
        <w:t xml:space="preserve">Public API reference: </w:t>
      </w:r>
      <w:hyperlink r:id="rId2">
        <w:r>
          <w:rPr>
            <w:rStyle w:val="Hyperlink"/>
          </w:rPr>
          <w:t>https://documenter.getpostman.com/view/43942900/2sB2j1hCDp</w:t>
        </w:r>
      </w:hyperlink>
      <w:r>
        <w:rPr/>
        <w:t xml:space="preserve"> Live-generated docs: </w:t>
      </w:r>
      <w:r>
        <w:rPr>
          <w:rStyle w:val="SourceText"/>
        </w:rPr>
        <w:t>&lt;API_BASE_URL&gt;/api-docs</w:t>
      </w:r>
      <w:r>
        <w:rPr/>
        <w:t xml:space="preserve"> (Swagger UI, served directly by this backend from source annotations in </w:t>
      </w:r>
      <w:r>
        <w:rPr>
          <w:rStyle w:val="SourceText"/>
        </w:rPr>
        <w:t>src/swagger/paths/</w:t>
      </w:r>
      <w:r>
        <w:rPr/>
        <w:t>).</w:t>
      </w:r>
    </w:p>
    <w:p>
      <w:pPr>
        <w:pStyle w:val="Heading2"/>
        <w:bidi w:val="0"/>
        <w:jc w:val="left"/>
        <w:rPr/>
      </w:pPr>
      <w:r>
        <w:rPr/>
        <w:t>2. High-Level Architecture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┌─────────────────────────────┐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4 frontend apps  ───► │   Express API (src/server.ts)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(marketplace,         │   REST @ /api/v1/*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companion, express,   │   WebSocket (real-time chat/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logistics)             │   notifications)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└───────────┬─────────────────┘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┌───────────────┬──────────┼───────────┬───────────────┐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▼               ▼          ▼           ▼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MongoDB (Atlas)   Celo chain  Quidax API  Cloudinary   Google OAuth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(all app data)    (escrow     (fiat        (image       (login for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</w:t>
      </w:r>
      <w:r>
        <w:rPr>
          <w:rStyle w:val="SourceText"/>
        </w:rPr>
        <w:t>contract,  on/off-ramp) uploads)     logistics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</w:t>
      </w:r>
      <w:r>
        <w:rPr>
          <w:rStyle w:val="SourceText"/>
        </w:rPr>
        <w:t>Mento FX)                            providers)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Runtime:</w:t>
      </w:r>
      <w:r>
        <w:rPr/>
        <w:t xml:space="preserve"> Node.js ≥20, TypeScript, Express 5.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Entry point:</w:t>
      </w:r>
      <w:r>
        <w:rPr/>
        <w:t xml:space="preserve"> </w:t>
      </w:r>
      <w:hyperlink r:id="rId3">
        <w:r>
          <w:rPr>
            <w:rStyle w:val="Hyperlink"/>
          </w:rPr>
          <w:t>src/server.ts</w:t>
        </w:r>
      </w:hyperlink>
      <w:r>
        <w:rPr/>
        <w:t xml:space="preserve"> — boots the HTTP server, attaches the WebSocket service, and initializes singleton services (</w:t>
      </w:r>
      <w:r>
        <w:rPr>
          <w:rStyle w:val="SourceText"/>
        </w:rPr>
        <w:t>NotificationService</w:t>
      </w:r>
      <w:r>
        <w:rPr/>
        <w:t xml:space="preserve">, </w:t>
      </w:r>
      <w:r>
        <w:rPr>
          <w:rStyle w:val="SourceText"/>
        </w:rPr>
        <w:t>RewardService</w:t>
      </w:r>
      <w:r>
        <w:rPr/>
        <w:t xml:space="preserve">, </w:t>
      </w:r>
      <w:r>
        <w:rPr>
          <w:rStyle w:val="SourceText"/>
        </w:rPr>
        <w:t>DezenMartContractService</w:t>
      </w:r>
      <w:r>
        <w:rPr/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App wiring:</w:t>
      </w:r>
      <w:r>
        <w:rPr/>
        <w:t xml:space="preserve"> </w:t>
      </w:r>
      <w:hyperlink r:id="rId4">
        <w:r>
          <w:rPr>
            <w:rStyle w:val="Hyperlink"/>
          </w:rPr>
          <w:t>src/configs/app.ts</w:t>
        </w:r>
      </w:hyperlink>
      <w:r>
        <w:rPr/>
        <w:t xml:space="preserve"> — middleware order: session → passport → CORS → helmet (CSP configured) → morgan logging → body parsing → static files → Swagger UI at </w:t>
      </w:r>
      <w:r>
        <w:rPr>
          <w:rStyle w:val="SourceText"/>
        </w:rPr>
        <w:t>/api-docs</w:t>
      </w:r>
      <w:r>
        <w:rPr/>
        <w:t xml:space="preserve"> → all API routes under </w:t>
      </w:r>
      <w:r>
        <w:rPr>
          <w:rStyle w:val="SourceText"/>
        </w:rPr>
        <w:t>/api/v1</w:t>
      </w:r>
      <w:r>
        <w:rPr/>
        <w:t xml:space="preserve"> → global error handler (</w:t>
      </w:r>
      <w:r>
        <w:rPr>
          <w:rStyle w:val="SourceText"/>
        </w:rPr>
        <w:t>src/middlewares/errorHandler.ts</w:t>
      </w:r>
      <w:r>
        <w:rPr/>
        <w:t xml:space="preserve">) last.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No test suite and no CI pipeline exist in this repo today</w:t>
      </w:r>
      <w:r>
        <w:rPr/>
        <w:t xml:space="preserve"> (</w:t>
      </w:r>
      <w:r>
        <w:rPr>
          <w:rStyle w:val="SourceText"/>
        </w:rPr>
        <w:t>find . -iname "*.test.ts"</w:t>
      </w:r>
      <w:r>
        <w:rPr/>
        <w:t xml:space="preserve"> returns nothing; no </w:t>
      </w:r>
      <w:r>
        <w:rPr>
          <w:rStyle w:val="SourceText"/>
        </w:rPr>
        <w:t>.github/workflows</w:t>
      </w:r>
      <w:r>
        <w:rPr/>
        <w:t xml:space="preserve">). Manual verification via Swagger UI and Postman is the current practice. This is the single biggest continuity risk — see </w:t>
      </w:r>
      <w:hyperlink w:anchor="8-known-risks--gaps">
        <w:r>
          <w:rPr>
            <w:rStyle w:val="Hyperlink"/>
          </w:rPr>
          <w:t>Section 8</w:t>
        </w:r>
      </w:hyperlink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3. Domain Modules</w:t>
      </w:r>
    </w:p>
    <w:p>
      <w:pPr>
        <w:pStyle w:val="BodyText"/>
        <w:bidi w:val="0"/>
        <w:jc w:val="left"/>
        <w:rPr/>
      </w:pPr>
      <w:r>
        <w:rPr/>
        <w:t xml:space="preserve">Each module is a route → controller → service → model slice. All live under </w:t>
      </w:r>
      <w:r>
        <w:rPr>
          <w:rStyle w:val="SourceText"/>
        </w:rPr>
        <w:t>src/</w:t>
      </w:r>
      <w:r>
        <w:rPr/>
        <w:t>.</w:t>
      </w:r>
    </w:p>
    <w:tbl>
      <w:tblPr>
        <w:tblW w:w="12085" w:type="dxa"/>
        <w:jc w:val="left"/>
        <w:tblInd w:w="-74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0"/>
        <w:gridCol w:w="1620"/>
        <w:gridCol w:w="9175"/>
      </w:tblGrid>
      <w:tr>
        <w:trPr>
          <w:tblHeader w:val="true"/>
        </w:trPr>
        <w:tc>
          <w:tcPr>
            <w:tcW w:w="129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EEEEE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Module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Heading"/>
              <w:suppressLineNumbers/>
              <w:shd w:val="clear" w:fill="EEEEEE"/>
              <w:bidi w:val="0"/>
              <w:spacing w:before="0" w:after="283"/>
              <w:jc w:val="left"/>
              <w:rPr/>
            </w:pPr>
            <w:r>
              <w:rPr/>
              <w:t>Route prefix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EEEEE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Purpose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Auth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/auth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OAuth (Passport) login, primarily for logistics provider onboarding. JWT issued for session auth on all other routes.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Users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/users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/>
            </w:pPr>
            <w:r>
              <w:rPr>
                <w:sz w:val="18"/>
                <w:szCs w:val="18"/>
              </w:rPr>
              <w:t>Profiles, roles (</w:t>
            </w:r>
            <w:r>
              <w:rPr>
                <w:rStyle w:val="SourceText"/>
                <w:sz w:val="18"/>
                <w:szCs w:val="18"/>
              </w:rPr>
              <w:t>user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SourceText"/>
                <w:sz w:val="18"/>
                <w:szCs w:val="18"/>
              </w:rPr>
              <w:t>buyer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SourceText"/>
                <w:sz w:val="18"/>
                <w:szCs w:val="18"/>
              </w:rPr>
              <w:t>seller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SourceText"/>
                <w:sz w:val="18"/>
                <w:szCs w:val="18"/>
              </w:rPr>
              <w:t>logistic agent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Style w:val="SourceText"/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 xml:space="preserve"> — see </w:t>
            </w:r>
            <w:r>
              <w:rPr>
                <w:rStyle w:val="SourceText"/>
                <w:sz w:val="18"/>
                <w:szCs w:val="18"/>
              </w:rPr>
              <w:t>src/models/userModel.ts</w:t>
            </w:r>
            <w:r>
              <w:rPr>
                <w:sz w:val="18"/>
                <w:szCs w:val="18"/>
              </w:rPr>
              <w:t xml:space="preserve">), identity verification (Self.xyz — </w:t>
            </w:r>
            <w:r>
              <w:rPr>
                <w:rStyle w:val="SourceText"/>
                <w:sz w:val="18"/>
                <w:szCs w:val="18"/>
              </w:rPr>
              <w:t>SELF_APP_SCOPE</w:t>
            </w:r>
            <w:r>
              <w:rPr>
                <w:sz w:val="18"/>
                <w:szCs w:val="18"/>
              </w:rPr>
              <w:t>/</w:t>
            </w:r>
            <w:r>
              <w:rPr>
                <w:rStyle w:val="SourceText"/>
                <w:sz w:val="18"/>
                <w:szCs w:val="18"/>
              </w:rPr>
              <w:t>SELF_BACKEND_URL</w:t>
            </w:r>
            <w:r>
              <w:rPr>
                <w:sz w:val="18"/>
                <w:szCs w:val="18"/>
              </w:rPr>
              <w:t xml:space="preserve"> config).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Products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/products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Seller product catalog, image uploads via Cloudinary.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Orders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/orders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/>
            </w:pPr>
            <w:r>
              <w:rPr>
                <w:sz w:val="18"/>
                <w:szCs w:val="18"/>
              </w:rPr>
              <w:t xml:space="preserve">Order lifecycle: </w:t>
            </w:r>
            <w:r>
              <w:rPr>
                <w:rStyle w:val="SourceText"/>
                <w:sz w:val="18"/>
                <w:szCs w:val="18"/>
              </w:rPr>
              <w:t>pending → accepted/rejected → shipped → delivered → delivery_confirmed → completed</w:t>
            </w:r>
            <w:r>
              <w:rPr>
                <w:sz w:val="18"/>
                <w:szCs w:val="18"/>
              </w:rPr>
              <w:t xml:space="preserve">, plus </w:t>
            </w:r>
            <w:r>
              <w:rPr>
                <w:rStyle w:val="SourceText"/>
                <w:sz w:val="18"/>
                <w:szCs w:val="18"/>
              </w:rPr>
              <w:t>disputed</w:t>
            </w:r>
            <w:r>
              <w:rPr>
                <w:sz w:val="18"/>
                <w:szCs w:val="18"/>
              </w:rPr>
              <w:t>/</w:t>
            </w:r>
            <w:r>
              <w:rPr>
                <w:rStyle w:val="SourceText"/>
                <w:sz w:val="18"/>
                <w:szCs w:val="18"/>
              </w:rPr>
              <w:t>refunded</w:t>
            </w:r>
            <w:r>
              <w:rPr>
                <w:sz w:val="18"/>
                <w:szCs w:val="18"/>
              </w:rPr>
              <w:t xml:space="preserve"> branches. Ties into on-chain escrow release.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Contracts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/contracts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/>
            </w:pPr>
            <w:r>
              <w:rPr>
                <w:sz w:val="18"/>
                <w:szCs w:val="18"/>
              </w:rPr>
              <w:t xml:space="preserve">On-chain trade/purchase/escrow management on Celo via </w:t>
            </w:r>
            <w:r>
              <w:rPr>
                <w:rStyle w:val="SourceText"/>
                <w:sz w:val="18"/>
                <w:szCs w:val="18"/>
              </w:rPr>
              <w:t>DezenMartContractService</w:t>
            </w:r>
            <w:r>
              <w:rPr>
                <w:sz w:val="18"/>
                <w:szCs w:val="18"/>
              </w:rPr>
              <w:t xml:space="preserve"> (</w:t>
            </w:r>
            <w:hyperlink r:id="rId5">
              <w:r>
                <w:rPr>
                  <w:rStyle w:val="Hyperlink"/>
                  <w:sz w:val="18"/>
                  <w:szCs w:val="18"/>
                </w:rPr>
                <w:t>src/services/contractService.ts</w:t>
              </w:r>
            </w:hyperlink>
            <w:r>
              <w:rPr>
                <w:sz w:val="18"/>
                <w:szCs w:val="18"/>
              </w:rPr>
              <w:t xml:space="preserve">), using </w:t>
            </w:r>
            <w:r>
              <w:rPr>
                <w:rStyle w:val="SourceText"/>
                <w:sz w:val="18"/>
                <w:szCs w:val="18"/>
              </w:rPr>
              <w:t>viem</w:t>
            </w:r>
            <w:r>
              <w:rPr>
                <w:sz w:val="18"/>
                <w:szCs w:val="18"/>
              </w:rPr>
              <w:t xml:space="preserve"> + the deployed contract ABI (</w:t>
            </w:r>
            <w:r>
              <w:rPr>
                <w:rStyle w:val="SourceText"/>
                <w:sz w:val="18"/>
                <w:szCs w:val="18"/>
              </w:rPr>
              <w:t>src/abi/dezenmartAbi.json</w:t>
            </w:r>
            <w:r>
              <w:rPr>
                <w:sz w:val="18"/>
                <w:szCs w:val="18"/>
              </w:rPr>
              <w:t>). Handles multi-token payments (USDT, cUSD, and a long list of other Mento stablecoins).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Mento (FX)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/mento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/>
            </w:pPr>
            <w:r>
              <w:rPr>
                <w:sz w:val="18"/>
                <w:szCs w:val="18"/>
              </w:rPr>
              <w:t xml:space="preserve">Stablecoin-to-stablecoin swaps via </w:t>
            </w:r>
            <w:r>
              <w:rPr>
                <w:rStyle w:val="SourceText"/>
                <w:sz w:val="18"/>
                <w:szCs w:val="18"/>
              </w:rPr>
              <w:t>@mento-protocol/mento-sdk</w:t>
            </w:r>
            <w:r>
              <w:rPr>
                <w:sz w:val="18"/>
                <w:szCs w:val="18"/>
              </w:rPr>
              <w:t xml:space="preserve"> (</w:t>
            </w:r>
            <w:hyperlink r:id="rId6">
              <w:r>
                <w:rPr>
                  <w:rStyle w:val="Hyperlink"/>
                  <w:sz w:val="18"/>
                  <w:szCs w:val="18"/>
                </w:rPr>
                <w:t>src/services/mentoService.ts</w:t>
              </w:r>
            </w:hyperlink>
            <w:r>
              <w:rPr>
                <w:sz w:val="18"/>
                <w:szCs w:val="18"/>
              </w:rPr>
              <w:t>).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Exchange Rate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/exchange-rate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 exchange rate management feeding the token purchase/spend system.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Ramp (Quidax)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/ramp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/>
            </w:pPr>
            <w:r>
              <w:rPr>
                <w:rStyle w:val="Strong"/>
                <w:sz w:val="18"/>
                <w:szCs w:val="18"/>
              </w:rPr>
              <w:t>Newest feature, added this session.</w:t>
            </w:r>
            <w:r>
              <w:rPr>
                <w:sz w:val="18"/>
                <w:szCs w:val="18"/>
              </w:rPr>
              <w:t xml:space="preserve"> Fiat on-ramp (buy crypto with local currency) and off-ramp (cash out crypto to bank/mobile money) via Quidax's ramp API. See </w:t>
            </w:r>
            <w:hyperlink w:anchor="7-quidax-integration-newest-feature">
              <w:r>
                <w:rPr>
                  <w:rStyle w:val="Hyperlink"/>
                  <w:sz w:val="18"/>
                  <w:szCs w:val="18"/>
                </w:rPr>
                <w:t>Section 7</w:t>
              </w:r>
            </w:hyperlink>
            <w:r>
              <w:rPr>
                <w:sz w:val="18"/>
                <w:szCs w:val="18"/>
              </w:rPr>
              <w:t>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Logistics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/logistics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Logistics provider accounts and assignment to orders. Providers onboard via Google OAuth.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Deliveries / Delivery Addresses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/deliveries</w:t>
            </w:r>
            <w:r>
              <w:rPr/>
              <w:t xml:space="preserve">, </w:t>
            </w:r>
            <w:r>
              <w:rPr>
                <w:rStyle w:val="SourceText"/>
              </w:rPr>
              <w:t>/delivery-addresses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Delivery tracking and saved addresses (most recent completed feature before Quidax).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Rewards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/rewards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/>
            </w:pPr>
            <w:r>
              <w:rPr>
                <w:sz w:val="18"/>
                <w:szCs w:val="18"/>
              </w:rPr>
              <w:t xml:space="preserve">Points economy — awards points for events like </w:t>
            </w:r>
            <w:r>
              <w:rPr>
                <w:rStyle w:val="SourceText"/>
                <w:sz w:val="18"/>
                <w:szCs w:val="18"/>
              </w:rPr>
              <w:t>PRODUCT_SOLD</w:t>
            </w:r>
            <w:r>
              <w:rPr>
                <w:sz w:val="18"/>
                <w:szCs w:val="18"/>
              </w:rPr>
              <w:t xml:space="preserve"> (100pts), </w:t>
            </w:r>
            <w:r>
              <w:rPr>
                <w:rStyle w:val="SourceText"/>
                <w:sz w:val="18"/>
                <w:szCs w:val="18"/>
              </w:rPr>
              <w:t>FIRST_PURCHASE</w:t>
            </w:r>
            <w:r>
              <w:rPr>
                <w:sz w:val="18"/>
                <w:szCs w:val="18"/>
              </w:rPr>
              <w:t xml:space="preserve"> (50pts), </w:t>
            </w:r>
            <w:r>
              <w:rPr>
                <w:rStyle w:val="SourceText"/>
                <w:sz w:val="18"/>
                <w:szCs w:val="18"/>
              </w:rPr>
              <w:t>FIVE_STAR_REVIEW</w:t>
            </w:r>
            <w:r>
              <w:rPr>
                <w:sz w:val="18"/>
                <w:szCs w:val="18"/>
              </w:rPr>
              <w:t xml:space="preserve"> (10pts), etc. Point values are hardcoded in </w:t>
            </w:r>
            <w:hyperlink r:id="rId7">
              <w:r>
                <w:rPr>
                  <w:rStyle w:val="Hyperlink"/>
                  <w:sz w:val="18"/>
                  <w:szCs w:val="18"/>
                </w:rPr>
                <w:t>src/services/rewardService.ts</w:t>
              </w:r>
            </w:hyperlink>
            <w:r>
              <w:rPr>
                <w:sz w:val="18"/>
                <w:szCs w:val="18"/>
              </w:rPr>
              <w:t>. Pushes live updates over WebSocket.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Referral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/referral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Referral code generation and referral-bonus rewards, built on top of the Rewards system.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Reviews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/reviews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Order/seller reviews; five-star reviews trigger reward points.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Watchlist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/watchlist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Buyer product watchlists.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Notifications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/notifications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/>
            </w:pPr>
            <w:r>
              <w:rPr>
                <w:sz w:val="18"/>
                <w:szCs w:val="18"/>
              </w:rPr>
              <w:t>Persisted notifications, pushed live via WebSocket (</w:t>
            </w:r>
            <w:r>
              <w:rPr>
                <w:rStyle w:val="SourceText"/>
                <w:sz w:val="18"/>
                <w:szCs w:val="18"/>
              </w:rPr>
              <w:t>WebSocketService</w:t>
            </w:r>
            <w:r>
              <w:rPr>
                <w:sz w:val="18"/>
                <w:szCs w:val="18"/>
              </w:rPr>
              <w:t>).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180" w:right="0"/>
              <w:jc w:val="left"/>
              <w:rPr/>
            </w:pPr>
            <w:r>
              <w:rPr/>
              <w:t>Messages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/messages</w:t>
            </w:r>
          </w:p>
        </w:tc>
        <w:tc>
          <w:tcPr>
            <w:tcW w:w="9175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629"/>
              <w:jc w:val="left"/>
              <w:rPr/>
            </w:pPr>
            <w:r>
              <w:rPr>
                <w:sz w:val="18"/>
                <w:szCs w:val="18"/>
              </w:rPr>
              <w:t xml:space="preserve">Direct messaging between users (buyer↔seller, likely buyer↔logistics), also real-time via WebSocket. Has an </w:t>
            </w:r>
            <w:r>
              <w:rPr>
                <w:rStyle w:val="SourceText"/>
                <w:sz w:val="18"/>
                <w:szCs w:val="18"/>
              </w:rPr>
              <w:t>antiSpamService.ts</w:t>
            </w:r>
            <w:r>
              <w:rPr>
                <w:sz w:val="18"/>
                <w:szCs w:val="18"/>
              </w:rPr>
              <w:t xml:space="preserve"> guard.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Data Layer</w:t>
      </w:r>
    </w:p>
    <w:p>
      <w:pPr>
        <w:pStyle w:val="BodyText"/>
        <w:bidi w:val="0"/>
        <w:jc w:val="left"/>
        <w:rPr/>
      </w:pPr>
      <w:r>
        <w:rPr/>
        <w:t>MongoDB (</w:t>
      </w:r>
      <w:r>
        <w:rPr>
          <w:rStyle w:val="SourceText"/>
        </w:rPr>
        <w:t>MONGODB_URI</w:t>
      </w:r>
      <w:r>
        <w:rPr/>
        <w:t xml:space="preserve">), accessed via Mongoose. Collections roughly mirror </w:t>
      </w:r>
      <w:r>
        <w:rPr>
          <w:rStyle w:val="SourceText"/>
        </w:rPr>
        <w:t>src/models/</w:t>
      </w:r>
      <w:r>
        <w:rPr/>
        <w:t xml:space="preserve">: </w:t>
      </w:r>
      <w:r>
        <w:rPr>
          <w:rStyle w:val="SourceText"/>
        </w:rPr>
        <w:t>userModel</w:t>
      </w:r>
      <w:r>
        <w:rPr/>
        <w:t xml:space="preserve">, </w:t>
      </w:r>
      <w:r>
        <w:rPr>
          <w:rStyle w:val="SourceText"/>
        </w:rPr>
        <w:t>productModel</w:t>
      </w:r>
      <w:r>
        <w:rPr/>
        <w:t xml:space="preserve">, </w:t>
      </w:r>
      <w:r>
        <w:rPr>
          <w:rStyle w:val="SourceText"/>
        </w:rPr>
        <w:t>orderModel</w:t>
      </w:r>
      <w:r>
        <w:rPr/>
        <w:t xml:space="preserve">, </w:t>
      </w:r>
      <w:r>
        <w:rPr>
          <w:rStyle w:val="SourceText"/>
        </w:rPr>
        <w:t>reviewModel</w:t>
      </w:r>
      <w:r>
        <w:rPr/>
        <w:t xml:space="preserve">, </w:t>
      </w:r>
      <w:r>
        <w:rPr>
          <w:rStyle w:val="SourceText"/>
        </w:rPr>
        <w:t>rewardModel</w:t>
      </w:r>
      <w:r>
        <w:rPr/>
        <w:t xml:space="preserve">, </w:t>
      </w:r>
      <w:r>
        <w:rPr>
          <w:rStyle w:val="SourceText"/>
        </w:rPr>
        <w:t>watchlistModel</w:t>
      </w:r>
      <w:r>
        <w:rPr/>
        <w:t xml:space="preserve">, </w:t>
      </w:r>
      <w:r>
        <w:rPr>
          <w:rStyle w:val="SourceText"/>
        </w:rPr>
        <w:t>notificationModel</w:t>
      </w:r>
      <w:r>
        <w:rPr/>
        <w:t xml:space="preserve">, </w:t>
      </w:r>
      <w:r>
        <w:rPr>
          <w:rStyle w:val="SourceText"/>
        </w:rPr>
        <w:t>messageModel</w:t>
      </w:r>
      <w:r>
        <w:rPr/>
        <w:t xml:space="preserve">, </w:t>
      </w:r>
      <w:r>
        <w:rPr>
          <w:rStyle w:val="SourceText"/>
        </w:rPr>
        <w:t>logisticsModel</w:t>
      </w:r>
      <w:r>
        <w:rPr/>
        <w:t xml:space="preserve">, </w:t>
      </w:r>
      <w:r>
        <w:rPr>
          <w:rStyle w:val="SourceText"/>
        </w:rPr>
        <w:t>deliveryModel</w:t>
      </w:r>
      <w:r>
        <w:rPr/>
        <w:t xml:space="preserve">, </w:t>
      </w:r>
      <w:r>
        <w:rPr>
          <w:rStyle w:val="SourceText"/>
        </w:rPr>
        <w:t>deliveryAddressModel</w:t>
      </w:r>
      <w:r>
        <w:rPr/>
        <w:t xml:space="preserve">, </w:t>
      </w:r>
      <w:r>
        <w:rPr>
          <w:rStyle w:val="SourceText"/>
        </w:rPr>
        <w:t>exchangeRateModel</w:t>
      </w:r>
      <w:r>
        <w:rPr/>
        <w:t xml:space="preserve">, </w:t>
      </w:r>
      <w:r>
        <w:rPr>
          <w:rStyle w:val="SourceText"/>
        </w:rPr>
        <w:t>pricingRuleModel</w:t>
      </w:r>
      <w:r>
        <w:rPr/>
        <w:t xml:space="preserve">, </w:t>
      </w:r>
      <w:r>
        <w:rPr>
          <w:rStyle w:val="SourceText"/>
        </w:rPr>
        <w:t>quidaxTransactionModel</w:t>
      </w:r>
      <w:r>
        <w:rPr/>
        <w:t>. No migration framework — schema changes are just Mongoose schema edits; there is no versioned migration history, so schema evolution needs care on any field rename/removal (check for existing documents with the old shape).</w:t>
      </w:r>
    </w:p>
    <w:p>
      <w:pPr>
        <w:pStyle w:val="Heading2"/>
        <w:bidi w:val="0"/>
        <w:jc w:val="left"/>
        <w:rPr/>
      </w:pPr>
      <w:r>
        <w:rPr/>
        <w:t>5. External Dependencies &amp; Where Their Credentials Live</w:t>
      </w:r>
    </w:p>
    <w:p>
      <w:pPr>
        <w:pStyle w:val="BodyText"/>
        <w:bidi w:val="0"/>
        <w:jc w:val="left"/>
        <w:rPr/>
      </w:pPr>
      <w:r>
        <w:rPr/>
        <w:t xml:space="preserve">All secrets are environment variables (see </w:t>
      </w:r>
      <w:hyperlink r:id="rId8">
        <w:r>
          <w:rPr>
            <w:rStyle w:val="Hyperlink"/>
          </w:rPr>
          <w:t>.env.example</w:t>
        </w:r>
      </w:hyperlink>
      <w:r>
        <w:rPr/>
        <w:t xml:space="preserve"> — annotated with actual keys below). None are committed; whoever picks up this project </w:t>
      </w:r>
      <w:r>
        <w:rPr>
          <w:rStyle w:val="Strong"/>
        </w:rPr>
        <w:t>must independently obtain access to each of these accounts</w:t>
      </w:r>
      <w:r>
        <w:rPr/>
        <w:t xml:space="preserve">, since a </w:t>
      </w:r>
      <w:r>
        <w:rPr>
          <w:rStyle w:val="SourceText"/>
        </w:rPr>
        <w:t>.env</w:t>
      </w:r>
      <w:r>
        <w:rPr/>
        <w:t xml:space="preserve"> file alone won't be handed down through git.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1"/>
        <w:gridCol w:w="3062"/>
        <w:gridCol w:w="6486"/>
      </w:tblGrid>
      <w:tr>
        <w:trPr>
          <w:tblHeader w:val="true"/>
        </w:trPr>
        <w:tc>
          <w:tcPr>
            <w:tcW w:w="1791" w:type="dxa"/>
            <w:tcBorders/>
            <w:vAlign w:val="center"/>
          </w:tcPr>
          <w:p>
            <w:pPr>
              <w:pStyle w:val="TableHeading"/>
              <w:suppressLineNumbers/>
              <w:shd w:val="clear" w:fill="EEEEEE"/>
              <w:bidi w:val="0"/>
              <w:spacing w:before="0" w:after="283"/>
              <w:jc w:val="left"/>
              <w:rPr/>
            </w:pPr>
            <w:r>
              <w:rPr/>
              <w:t>Dependency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TableHeading"/>
              <w:suppressLineNumbers/>
              <w:shd w:val="clear" w:fill="EEEEEE"/>
              <w:bidi w:val="0"/>
              <w:spacing w:before="0" w:after="283"/>
              <w:jc w:val="left"/>
              <w:rPr/>
            </w:pPr>
            <w:r>
              <w:rPr/>
              <w:t>Env vars</w:t>
            </w:r>
          </w:p>
        </w:tc>
        <w:tc>
          <w:tcPr>
            <w:tcW w:w="648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EEEEEE"/>
              <w:suppressAutoHyphens w:val="true"/>
              <w:bidi w:val="0"/>
              <w:spacing w:lineRule="auto" w:line="336" w:before="0" w:after="283"/>
              <w:ind w:hanging="0" w:left="0" w:right="540"/>
              <w:jc w:val="left"/>
              <w:rPr/>
            </w:pPr>
            <w:r>
              <w:rPr/>
              <w:t>What breaks without it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MongoDB Atlas (or equivalent)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MONGODB_URI</w:t>
            </w:r>
          </w:p>
        </w:tc>
        <w:tc>
          <w:tcPr>
            <w:tcW w:w="6486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540"/>
              <w:jc w:val="left"/>
              <w:rPr/>
            </w:pPr>
            <w:r>
              <w:rPr/>
              <w:t>Entire app — server refuses to serve without a DB connection (</w:t>
            </w:r>
            <w:r>
              <w:rPr>
                <w:rStyle w:val="SourceText"/>
              </w:rPr>
              <w:t>process.exit(1)</w:t>
            </w:r>
            <w:r>
              <w:rPr/>
              <w:t xml:space="preserve"> on failure, see </w:t>
            </w:r>
            <w:hyperlink r:id="rId9">
              <w:r>
                <w:rPr>
                  <w:rStyle w:val="Hyperlink"/>
                </w:rPr>
                <w:t>src/configs/database.ts</w:t>
              </w:r>
            </w:hyperlink>
            <w:r>
              <w:rPr/>
              <w:t>).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Celo blockchain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CELO_NODE_URL</w:t>
            </w:r>
            <w:r>
              <w:rPr/>
              <w:t xml:space="preserve">, </w:t>
            </w:r>
            <w:r>
              <w:rPr>
                <w:rStyle w:val="SourceText"/>
              </w:rPr>
              <w:t>CONTRACT_ADDRESS</w:t>
            </w:r>
            <w:r>
              <w:rPr/>
              <w:t xml:space="preserve">, </w:t>
            </w:r>
            <w:r>
              <w:rPr>
                <w:rStyle w:val="SourceText"/>
              </w:rPr>
              <w:t>USDT_ADDRESS</w:t>
            </w:r>
            <w:r>
              <w:rPr/>
              <w:t xml:space="preserve">, </w:t>
            </w:r>
            <w:r>
              <w:rPr>
                <w:rStyle w:val="SourceText"/>
              </w:rPr>
              <w:t>PRIVATE_KEY</w:t>
            </w:r>
            <w:r>
              <w:rPr/>
              <w:t xml:space="preserve">, </w:t>
            </w:r>
            <w:r>
              <w:rPr>
                <w:rStyle w:val="SourceText"/>
              </w:rPr>
              <w:t>IS_TESTNET</w:t>
            </w:r>
          </w:p>
        </w:tc>
        <w:tc>
          <w:tcPr>
            <w:tcW w:w="6486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540"/>
              <w:jc w:val="left"/>
              <w:rPr/>
            </w:pPr>
            <w:r>
              <w:rPr/>
              <w:t xml:space="preserve">On-chain escrow, trades, and FX swaps. </w:t>
            </w:r>
            <w:r>
              <w:rPr>
                <w:rStyle w:val="SourceText"/>
              </w:rPr>
              <w:t>PRIVATE_KEY</w:t>
            </w:r>
            <w:r>
              <w:rPr>
                <w:rStyle w:val="Strong"/>
              </w:rPr>
              <w:t xml:space="preserve"> is a live wallet private key that signs on-chain transactions on behalf of the platform — this is the highest-value credential in the system and must be treated like a bank account key.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Quidax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QUIDAX_API_KEY</w:t>
            </w:r>
            <w:r>
              <w:rPr/>
              <w:t xml:space="preserve">, </w:t>
            </w:r>
            <w:r>
              <w:rPr>
                <w:rStyle w:val="SourceText"/>
              </w:rPr>
              <w:t>QUIDAX_BASE_URL</w:t>
            </w:r>
            <w:r>
              <w:rPr/>
              <w:t xml:space="preserve">, </w:t>
            </w:r>
            <w:r>
              <w:rPr>
                <w:rStyle w:val="SourceText"/>
              </w:rPr>
              <w:t>QUIDAX_WEBHOOK_SECRET</w:t>
            </w:r>
          </w:p>
        </w:tc>
        <w:tc>
          <w:tcPr>
            <w:tcW w:w="6486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540"/>
              <w:jc w:val="left"/>
              <w:rPr/>
            </w:pPr>
            <w:r>
              <w:rPr/>
              <w:t>Fiat on/off-ramp. Webhook secret validates inbound Quidax callbacks — if wrong/missing, ramp status updates silently fail or (if verification is skipped) could accept forged callbacks.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Cloudinary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CLOUDINARY_CLOUD_NAME</w:t>
            </w:r>
            <w:r>
              <w:rPr/>
              <w:t xml:space="preserve">, </w:t>
            </w:r>
            <w:r>
              <w:rPr>
                <w:rStyle w:val="SourceText"/>
              </w:rPr>
              <w:t>CLOUDINARY_API_KEY</w:t>
            </w:r>
            <w:r>
              <w:rPr/>
              <w:t xml:space="preserve">, </w:t>
            </w:r>
            <w:r>
              <w:rPr>
                <w:rStyle w:val="SourceText"/>
              </w:rPr>
              <w:t>CLOUDINARY_API_SECRET</w:t>
            </w:r>
          </w:p>
        </w:tc>
        <w:tc>
          <w:tcPr>
            <w:tcW w:w="6486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540"/>
              <w:jc w:val="left"/>
              <w:rPr/>
            </w:pPr>
            <w:r>
              <w:rPr/>
              <w:t>Product image and profile image uploads.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Google OAuth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GOOGLE_CLIENT_ID</w:t>
            </w:r>
            <w:r>
              <w:rPr/>
              <w:t xml:space="preserve">, </w:t>
            </w:r>
            <w:r>
              <w:rPr>
                <w:rStyle w:val="SourceText"/>
              </w:rPr>
              <w:t>GOOGLE_CLIENT_SECRET</w:t>
            </w:r>
          </w:p>
        </w:tc>
        <w:tc>
          <w:tcPr>
            <w:tcW w:w="6486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540"/>
              <w:jc w:val="left"/>
              <w:rPr/>
            </w:pPr>
            <w:r>
              <w:rPr/>
              <w:t>Logistics provider login/onboarding.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Self.xyz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SELF_APP_SCOPE</w:t>
            </w:r>
            <w:r>
              <w:rPr/>
              <w:t xml:space="preserve">, </w:t>
            </w:r>
            <w:r>
              <w:rPr>
                <w:rStyle w:val="SourceText"/>
              </w:rPr>
              <w:t>SELF_BACKEND_URL</w:t>
            </w:r>
          </w:p>
        </w:tc>
        <w:tc>
          <w:tcPr>
            <w:tcW w:w="6486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540"/>
              <w:jc w:val="left"/>
              <w:rPr/>
            </w:pPr>
            <w:r>
              <w:rPr/>
              <w:t>User identity verification.</w:t>
            </w:r>
          </w:p>
        </w:tc>
      </w:tr>
      <w:tr>
        <w:trPr/>
        <w:tc>
          <w:tcPr>
            <w:tcW w:w="1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Session/JWT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SESSION_SECRET</w:t>
            </w:r>
            <w:r>
              <w:rPr/>
              <w:t xml:space="preserve">, </w:t>
            </w:r>
            <w:r>
              <w:rPr>
                <w:rStyle w:val="SourceText"/>
              </w:rPr>
              <w:t>JWT_SECRET</w:t>
            </w:r>
          </w:p>
        </w:tc>
        <w:tc>
          <w:tcPr>
            <w:tcW w:w="6486" w:type="dxa"/>
            <w:tcBorders/>
            <w:vAlign w:val="center"/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36" w:before="0" w:after="283"/>
              <w:ind w:hanging="0" w:left="0" w:right="540"/>
              <w:jc w:val="left"/>
              <w:rPr/>
            </w:pPr>
            <w:r>
              <w:rPr/>
              <w:t xml:space="preserve">Auth. </w:t>
            </w:r>
            <w:r>
              <w:rPr>
                <w:rStyle w:val="Strong"/>
              </w:rPr>
              <w:t>Both currently fall back to insecure hardcoded defaults (</w:t>
            </w:r>
            <w:r>
              <w:rPr>
                <w:rStyle w:val="SourceText"/>
              </w:rPr>
              <w:t>'secret'</w:t>
            </w:r>
            <w:r>
              <w:rPr>
                <w:rStyle w:val="Strong"/>
              </w:rPr>
              <w:t xml:space="preserve"> for JWT) if unset in some environments — verify these are set to strong random values in every deployed environment, not just locally.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Action item for whoever takes over:</w:t>
      </w:r>
      <w:r>
        <w:rPr/>
        <w:t xml:space="preserve"> get added as an owner/admin (not just a viewer) on MongoDB Atlas, the hosting platform, Quidax merchant dashboard, Cloudinary, Google Cloud Console (OAuth app), and — critically — know who controls the </w:t>
      </w:r>
      <w:r>
        <w:rPr>
          <w:rStyle w:val="SourceText"/>
        </w:rPr>
        <w:t>PRIVATE_KEY</w:t>
      </w:r>
      <w:r>
        <w:rPr/>
        <w:t xml:space="preserve"> wallet and how to rotate it if compromised.</w:t>
      </w:r>
    </w:p>
    <w:p>
      <w:pPr>
        <w:pStyle w:val="Heading2"/>
        <w:bidi w:val="0"/>
        <w:jc w:val="left"/>
        <w:rPr/>
      </w:pPr>
      <w:r>
        <w:rPr/>
        <w:t>6. Deployment &amp; Environments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Hosting is Heroku-style (</w:t>
      </w:r>
      <w:r>
        <w:rPr>
          <w:rStyle w:val="SourceText"/>
        </w:rPr>
        <w:t>Procfile</w:t>
      </w:r>
      <w:r>
        <w:rPr/>
        <w:t xml:space="preserve">: </w:t>
      </w:r>
      <w:r>
        <w:rPr>
          <w:rStyle w:val="SourceText"/>
        </w:rPr>
        <w:t>web: npm start</w:t>
      </w:r>
      <w:r>
        <w:rPr/>
        <w:t xml:space="preserve">), commonly Render/Railway/Heroku. </w:t>
      </w:r>
      <w:r>
        <w:rPr>
          <w:rStyle w:val="Strong"/>
        </w:rPr>
        <w:t>Confirm which platform is currently live</w:t>
      </w:r>
      <w:r>
        <w:rPr/>
        <w:t xml:space="preserve"> — this isn't recorded in the repo itself, and is exactly the kind of tribal knowledge that needs to be handed off explicitly (dashboard login, deploy branch, auto-deploy vs. manual).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Build: </w:t>
      </w:r>
      <w:r>
        <w:rPr>
          <w:rStyle w:val="SourceText"/>
        </w:rPr>
        <w:t>npm run build</w:t>
      </w:r>
      <w:r>
        <w:rPr/>
        <w:t xml:space="preserve"> (</w:t>
      </w:r>
      <w:r>
        <w:rPr>
          <w:rStyle w:val="SourceText"/>
        </w:rPr>
        <w:t>tsc</w:t>
      </w:r>
      <w:r>
        <w:rPr/>
        <w:t xml:space="preserve"> → </w:t>
      </w:r>
      <w:r>
        <w:rPr>
          <w:rStyle w:val="SourceText"/>
        </w:rPr>
        <w:t>dist/</w:t>
      </w:r>
      <w:r>
        <w:rPr/>
        <w:t xml:space="preserve">). Run: </w:t>
      </w:r>
      <w:r>
        <w:rPr>
          <w:rStyle w:val="SourceText"/>
        </w:rPr>
        <w:t>npm start</w:t>
      </w:r>
      <w:r>
        <w:rPr/>
        <w:t xml:space="preserve"> (</w:t>
      </w:r>
      <w:r>
        <w:rPr>
          <w:rStyle w:val="SourceText"/>
        </w:rPr>
        <w:t>node dist/server.js</w:t>
      </w:r>
      <w:r>
        <w:rPr/>
        <w:t xml:space="preserve">). Local dev: </w:t>
      </w:r>
      <w:r>
        <w:rPr>
          <w:rStyle w:val="SourceText"/>
        </w:rPr>
        <w:t>npm run dev</w:t>
      </w:r>
      <w:r>
        <w:rPr/>
        <w:t xml:space="preserve"> (nodemon + ts-node, watches </w:t>
      </w:r>
      <w:r>
        <w:rPr>
          <w:rStyle w:val="SourceText"/>
        </w:rPr>
        <w:t>src/</w:t>
      </w:r>
      <w:r>
        <w:rPr/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Swagger server list is generated dynamically from </w:t>
      </w:r>
      <w:r>
        <w:rPr>
          <w:rStyle w:val="SourceText"/>
        </w:rPr>
        <w:t>API_BASE_URL</w:t>
      </w:r>
      <w:r>
        <w:rPr/>
        <w:t xml:space="preserve"> at </w:t>
      </w:r>
      <w:hyperlink r:id="rId10">
        <w:r>
          <w:rPr>
            <w:rStyle w:val="Hyperlink"/>
          </w:rPr>
          <w:t>src/swagger/index.ts</w:t>
        </w:r>
      </w:hyperlink>
      <w:r>
        <w:rPr/>
        <w:t xml:space="preserve"> — production vs. local docs switch automatically based on that env var.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No containerization (no Dockerfile) and no CI. Deploys are presumably git-push-triggered on whichever PaaS is in use, or manual. </w:t>
      </w:r>
    </w:p>
    <w:p>
      <w:pPr>
        <w:pStyle w:val="Heading2"/>
        <w:bidi w:val="0"/>
        <w:jc w:val="left"/>
        <w:rPr/>
      </w:pPr>
      <w:r>
        <w:rPr/>
        <w:t>7. Quidax Integration (Newest Feature)</w:t>
      </w:r>
    </w:p>
    <w:p>
      <w:pPr>
        <w:pStyle w:val="BodyText"/>
        <w:bidi w:val="0"/>
        <w:jc w:val="left"/>
        <w:rPr/>
      </w:pPr>
      <w:r>
        <w:rPr/>
        <w:t xml:space="preserve">This is the most recently built feature (commit </w:t>
      </w:r>
      <w:r>
        <w:rPr>
          <w:rStyle w:val="SourceText"/>
        </w:rPr>
        <w:t>e671048</w:t>
      </w:r>
      <w:r>
        <w:rPr/>
        <w:t xml:space="preserve">, plus uncommitted local edits to </w:t>
      </w:r>
      <w:r>
        <w:rPr>
          <w:rStyle w:val="SourceText"/>
        </w:rPr>
        <w:t>src/routes/quidaxRoute.ts</w:t>
      </w:r>
      <w:r>
        <w:rPr/>
        <w:t xml:space="preserve">, </w:t>
      </w:r>
      <w:r>
        <w:rPr>
          <w:rStyle w:val="SourceText"/>
        </w:rPr>
        <w:t>src/services/quidaxService.ts</w:t>
      </w:r>
      <w:r>
        <w:rPr/>
        <w:t xml:space="preserve">, </w:t>
      </w:r>
      <w:r>
        <w:rPr>
          <w:rStyle w:val="SourceText"/>
        </w:rPr>
        <w:t>src/swagger/paths/quidax.paths.ts</w:t>
      </w:r>
      <w:r>
        <w:rPr/>
        <w:t xml:space="preserve">, </w:t>
      </w:r>
      <w:r>
        <w:rPr>
          <w:rStyle w:val="SourceText"/>
        </w:rPr>
        <w:t>src/utils/validations/quidaxValidation.ts</w:t>
      </w:r>
      <w:r>
        <w:rPr/>
        <w:t xml:space="preserve"> — </w:t>
      </w:r>
      <w:r>
        <w:rPr>
          <w:rStyle w:val="Strong"/>
        </w:rPr>
        <w:t>not yet committed as of this writing</w:t>
      </w:r>
      <w:r>
        <w:rPr/>
        <w:t xml:space="preserve">). Whoever continues this work should run </w:t>
      </w:r>
      <w:r>
        <w:rPr>
          <w:rStyle w:val="SourceText"/>
        </w:rPr>
        <w:t>git status</w:t>
      </w:r>
      <w:r>
        <w:rPr/>
        <w:t>/</w:t>
      </w:r>
      <w:r>
        <w:rPr>
          <w:rStyle w:val="SourceText"/>
        </w:rPr>
        <w:t>git diff</w:t>
      </w:r>
      <w:r>
        <w:rPr/>
        <w:t xml:space="preserve"> first to see the exact uncommitted state before assuming main reflects reality.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On-ramp:</w:t>
      </w:r>
      <w:r>
        <w:rPr/>
        <w:t xml:space="preserve"> user pays local currency → receives stablecoin/crypto in their wallet.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Off-ramp:</w:t>
      </w:r>
      <w:r>
        <w:rPr/>
        <w:t xml:space="preserve"> user sends crypto → receives local currency/mobile money payout.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Transaction state is tracked in </w:t>
      </w:r>
      <w:r>
        <w:rPr>
          <w:rStyle w:val="SourceText"/>
        </w:rPr>
        <w:t>quidaxTransactionModel.ts</w:t>
      </w:r>
      <w:r>
        <w:rPr/>
        <w:t xml:space="preserve"> with a </w:t>
      </w:r>
      <w:r>
        <w:rPr>
          <w:rStyle w:val="SourceText"/>
        </w:rPr>
        <w:t>RampStatus</w:t>
      </w:r>
      <w:r>
        <w:rPr/>
        <w:t xml:space="preserve"> enum.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quidaxService.ts</w:t>
      </w:r>
      <w:r>
        <w:rPr/>
        <w:t xml:space="preserve"> wraps Quidax's REST API (</w:t>
      </w:r>
      <w:r>
        <w:rPr>
          <w:rStyle w:val="SourceText"/>
        </w:rPr>
        <w:t>x-private-key</w:t>
      </w:r>
      <w:r>
        <w:rPr/>
        <w:t xml:space="preserve"> header auth) and generates merchant references as </w:t>
      </w:r>
      <w:r>
        <w:rPr>
          <w:rStyle w:val="SourceText"/>
        </w:rPr>
        <w:t>dezenmrt-&lt;suffix&gt;-&lt;timestamp&gt;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Webhook handling validates </w:t>
      </w:r>
      <w:r>
        <w:rPr>
          <w:rStyle w:val="SourceText"/>
        </w:rPr>
        <w:t>QUIDAX_WEBHOOK_SECRET</w:t>
      </w:r>
      <w:r>
        <w:rPr/>
        <w:t xml:space="preserve"> to trust inbound status callbacks — verify this is enforced end-to-end (not just present in config) before treating ramp status updates as production-ready. </w:t>
      </w:r>
    </w:p>
    <w:p>
      <w:pPr>
        <w:pStyle w:val="Heading2"/>
        <w:bidi w:val="0"/>
        <w:jc w:val="left"/>
        <w:rPr/>
      </w:pPr>
      <w:r>
        <w:rPr/>
        <w:t>8. Known Risks &amp; Gaps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 automated tests, no CI.</w:t>
      </w:r>
      <w:r>
        <w:rPr/>
        <w:t xml:space="preserve"> Any change is verified manually. First priority for a new maintainer: at minimum smoke-test the critical paths (auth, order creation, contract escrow calls, Quidax ramp) before making changes.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Wallet private key custody.</w:t>
      </w:r>
      <w:r>
        <w:rPr/>
        <w:t xml:space="preserve"> </w:t>
      </w:r>
      <w:r>
        <w:rPr>
          <w:rStyle w:val="SourceText"/>
        </w:rPr>
        <w:t>PRIVATE_KEY</w:t>
      </w:r>
      <w:r>
        <w:rPr/>
        <w:t xml:space="preserve"> signs real on-chain transactions. Confirm today whether this is a testnet or mainnet key (</w:t>
      </w:r>
      <w:r>
        <w:rPr>
          <w:rStyle w:val="SourceText"/>
        </w:rPr>
        <w:t>IS_TESTNET</w:t>
      </w:r>
      <w:r>
        <w:rPr/>
        <w:t xml:space="preserve"> flag) and who else has access/backup.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Hardcoded secret fallbacks.</w:t>
      </w:r>
      <w:r>
        <w:rPr/>
        <w:t xml:space="preserve"> </w:t>
      </w:r>
      <w:r>
        <w:rPr>
          <w:rStyle w:val="SourceText"/>
        </w:rPr>
        <w:t>JWT_SECRET</w:t>
      </w:r>
      <w:r>
        <w:rPr/>
        <w:t xml:space="preserve"> defaults to the literal string </w:t>
      </w:r>
      <w:r>
        <w:rPr>
          <w:rStyle w:val="SourceText"/>
        </w:rPr>
        <w:t>'secret'</w:t>
      </w:r>
      <w:r>
        <w:rPr/>
        <w:t xml:space="preserve"> in </w:t>
      </w:r>
      <w:hyperlink r:id="rId11">
        <w:r>
          <w:rPr>
            <w:rStyle w:val="Hyperlink"/>
          </w:rPr>
          <w:t>src/configs/config.ts</w:t>
        </w:r>
      </w:hyperlink>
      <w:r>
        <w:rPr/>
        <w:t xml:space="preserve"> if the env var is unset — audit all deployed environments to confirm this default is never actually in use.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 schema migration tooling.</w:t>
      </w:r>
      <w:r>
        <w:rPr/>
        <w:t xml:space="preserve"> Mongoose schema changes need manual backward-compatibility review against existing documents.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Contract event listener is currently disabled</w:t>
      </w:r>
      <w:r>
        <w:rPr/>
        <w:t xml:space="preserve"> — </w:t>
      </w:r>
      <w:r>
        <w:rPr>
          <w:rStyle w:val="SourceText"/>
        </w:rPr>
        <w:t>contractService.listenForEvents()</w:t>
      </w:r>
      <w:r>
        <w:rPr/>
        <w:t xml:space="preserve"> is commented out in </w:t>
      </w:r>
      <w:hyperlink r:id="rId12">
        <w:r>
          <w:rPr>
            <w:rStyle w:val="Hyperlink"/>
          </w:rPr>
          <w:t>src/server.ts</w:t>
        </w:r>
      </w:hyperlink>
      <w:r>
        <w:rPr/>
        <w:t xml:space="preserve">. Confirm whether this is intentional (e.g., handled by a separate worker/process) or an oversight, since it affects whether on-chain events (trade completion, disputes) sync back into the app automatically.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Hosting platform ownership is tribal knowledge</w:t>
      </w:r>
      <w:r>
        <w:rPr/>
        <w:t xml:space="preserve">, not documented in-repo (see Section 6). This is the fastest thing to lose if the primary maintainer disappears. </w:t>
      </w:r>
    </w:p>
    <w:p>
      <w:pPr>
        <w:pStyle w:val="Heading2"/>
        <w:bidi w:val="0"/>
        <w:jc w:val="left"/>
        <w:rPr/>
      </w:pPr>
      <w:r>
        <w:rPr/>
        <w:t>9. First 24 Hours — If the Primary Maintainer Is Unreachable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Confirm access to: GitHub org (</w:t>
      </w:r>
      <w:r>
        <w:rPr>
          <w:rStyle w:val="SourceText"/>
        </w:rPr>
        <w:t>Dezenmart-STORE</w:t>
      </w:r>
      <w:r>
        <w:rPr/>
        <w:t xml:space="preserve">), hosting dashboard, MongoDB Atlas, Quidax merchant dashboard, Cloudinary, Google Cloud Console, and the Celo wallet controlling </w:t>
      </w:r>
      <w:r>
        <w:rPr>
          <w:rStyle w:val="SourceText"/>
        </w:rPr>
        <w:t>PRIVATE_KEY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Run </w:t>
      </w:r>
      <w:r>
        <w:rPr>
          <w:rStyle w:val="SourceText"/>
        </w:rPr>
        <w:t>git status</w:t>
      </w:r>
      <w:r>
        <w:rPr/>
        <w:t xml:space="preserve"> and </w:t>
      </w:r>
      <w:r>
        <w:rPr>
          <w:rStyle w:val="SourceText"/>
        </w:rPr>
        <w:t>git log</w:t>
      </w:r>
      <w:r>
        <w:rPr/>
        <w:t xml:space="preserve"> on </w:t>
      </w:r>
      <w:r>
        <w:rPr>
          <w:rStyle w:val="SourceText"/>
        </w:rPr>
        <w:t>main</w:t>
      </w:r>
      <w:r>
        <w:rPr/>
        <w:t xml:space="preserve"> to see exactly what's committed vs. in-flight (as of this doc, the Quidax ramp changes were uncommitted locally).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Check the live deployment is up (</w:t>
      </w:r>
      <w:r>
        <w:rPr>
          <w:rStyle w:val="SourceText"/>
        </w:rPr>
        <w:t>GET &lt;API_BASE_URL&gt;/api-docs</w:t>
      </w:r>
      <w:r>
        <w:rPr/>
        <w:t xml:space="preserve"> should load Swagger UI) and check recent server logs on the hosting platform for errors.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Verify </w:t>
      </w:r>
      <w:r>
        <w:rPr>
          <w:rStyle w:val="SourceText"/>
        </w:rPr>
        <w:t>.env</w:t>
      </w:r>
      <w:r>
        <w:rPr/>
        <w:t xml:space="preserve"> values in the deployed environment match </w:t>
      </w:r>
      <w:hyperlink r:id="rId13">
        <w:r>
          <w:rPr>
            <w:rStyle w:val="Hyperlink"/>
          </w:rPr>
          <w:t>.env.example</w:t>
        </w:r>
      </w:hyperlink>
      <w:r>
        <w:rPr/>
        <w:t xml:space="preserve">'s key list — a missing var (especially </w:t>
      </w:r>
      <w:r>
        <w:rPr>
          <w:rStyle w:val="SourceText"/>
        </w:rPr>
        <w:t>MONGODB_URI</w:t>
      </w:r>
      <w:r>
        <w:rPr/>
        <w:t xml:space="preserve">, </w:t>
      </w:r>
      <w:r>
        <w:rPr>
          <w:rStyle w:val="SourceText"/>
        </w:rPr>
        <w:t>JWT_SECRET</w:t>
      </w:r>
      <w:r>
        <w:rPr/>
        <w:t xml:space="preserve">, </w:t>
      </w:r>
      <w:r>
        <w:rPr>
          <w:rStyle w:val="SourceText"/>
        </w:rPr>
        <w:t>PRIVATE_KEY</w:t>
      </w:r>
      <w:r>
        <w:rPr/>
        <w:t xml:space="preserve">) will hard-fail the app or silently degrade a feature.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If a code change is urgently needed, read </w:t>
      </w:r>
      <w:hyperlink w:anchor="3-domain-modules">
        <w:r>
          <w:rPr>
            <w:rStyle w:val="Hyperlink"/>
          </w:rPr>
          <w:t>Section 3</w:t>
        </w:r>
      </w:hyperlink>
      <w:r>
        <w:rPr/>
        <w:t xml:space="preserve"> to locate the right route → controller → service → model chain, and cross-reference </w:t>
      </w:r>
      <w:r>
        <w:rPr>
          <w:rStyle w:val="SourceText"/>
        </w:rPr>
        <w:t>src/swagger/paths/</w:t>
      </w:r>
      <w:r>
        <w:rPr/>
        <w:t xml:space="preserve"> for the documented request/response shape before changing an endpoint's contract. </w:t>
      </w:r>
    </w:p>
    <w:sectPr>
      <w:type w:val="nextPage"/>
      <w:pgSz w:w="11906" w:h="16838"/>
      <w:pgMar w:left="750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roman"/>
    <w:pitch w:val="variable"/>
  </w:font>
  <w:font w:name="Noto Sans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Consolas">
    <w:altName w:val="monospace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36" w:before="0" w:after="0"/>
      <w:jc w:val="left"/>
    </w:pPr>
    <w:rPr>
      <w:rFonts w:ascii="Calibri;Arial;sans-serif" w:hAnsi="Calibri;Arial;sans-serif" w:eastAsia="Calibri;Arial;sans-serif" w:cs="Calibri;Arial;sans-serif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3" w:color="444444"/>
      </w:pBdr>
    </w:pPr>
    <w:rPr>
      <w:rFonts w:ascii="Noto Sans" w:hAnsi="Noto San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60" w:after="120"/>
      <w:outlineLvl w:val="1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70" w:after="120"/>
      <w:outlineLvl w:val="2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2F2F2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PreformattedText">
    <w:name w:val="Preformatted Text"/>
    <w:basedOn w:val="Normal"/>
    <w:qFormat/>
    <w:pPr>
      <w:shd w:val="clear" w:fill="F2F2F2"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pBdr>
        <w:left w:val="single" w:sz="18" w:space="9" w:color="CCCCCC"/>
      </w:pBdr>
      <w:spacing w:before="0" w:after="283"/>
      <w:ind w:hanging="0" w:left="567" w:right="567"/>
    </w:pPr>
    <w:rPr>
      <w:color w:val="555555"/>
    </w:rPr>
  </w:style>
  <w:style w:type="paragraph" w:styleId="TableHeading">
    <w:name w:val="Table Heading"/>
    <w:basedOn w:val="TableContents"/>
    <w:qFormat/>
    <w:pPr>
      <w:suppressLineNumbers/>
      <w:shd w:val="clear" w:fill="EEEEEE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umenter.getpostman.com/view/43942900/2sB2j1hCDp" TargetMode="External"/><Relationship Id="rId3" Type="http://schemas.openxmlformats.org/officeDocument/2006/relationships/hyperlink" Target="../src/server.ts" TargetMode="External"/><Relationship Id="rId4" Type="http://schemas.openxmlformats.org/officeDocument/2006/relationships/hyperlink" Target="../src/configs/app.ts" TargetMode="External"/><Relationship Id="rId5" Type="http://schemas.openxmlformats.org/officeDocument/2006/relationships/hyperlink" Target="../src/services/contractService.ts" TargetMode="External"/><Relationship Id="rId6" Type="http://schemas.openxmlformats.org/officeDocument/2006/relationships/hyperlink" Target="../src/services/mentoService.ts" TargetMode="External"/><Relationship Id="rId7" Type="http://schemas.openxmlformats.org/officeDocument/2006/relationships/hyperlink" Target="../src/services/rewardService.ts" TargetMode="External"/><Relationship Id="rId8" Type="http://schemas.openxmlformats.org/officeDocument/2006/relationships/hyperlink" Target="../.env.example" TargetMode="External"/><Relationship Id="rId9" Type="http://schemas.openxmlformats.org/officeDocument/2006/relationships/hyperlink" Target="../src/configs/database.ts" TargetMode="External"/><Relationship Id="rId10" Type="http://schemas.openxmlformats.org/officeDocument/2006/relationships/hyperlink" Target="../src/swagger/index.ts" TargetMode="External"/><Relationship Id="rId11" Type="http://schemas.openxmlformats.org/officeDocument/2006/relationships/hyperlink" Target="../src/configs/config.ts" TargetMode="External"/><Relationship Id="rId12" Type="http://schemas.openxmlformats.org/officeDocument/2006/relationships/hyperlink" Target="../src/server.ts" TargetMode="External"/><Relationship Id="rId13" Type="http://schemas.openxmlformats.org/officeDocument/2006/relationships/hyperlink" Target="../.env.example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6</Pages>
  <Words>1519</Words>
  <Characters>9994</Characters>
  <CharactersWithSpaces>11726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2026-07-15T13:12:44Z</dcterms:modified>
  <cp:revision>1</cp:revision>
  <dc:subject/>
  <dc:title>Dezenmart Backend — Continuity &amp; Technical Overview PRD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