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Bulacan State University</w:t>
      </w:r>
    </w:p>
    <w:p>
      <w:pPr>
        <w:spacing w:after="240"/>
        <w:jc w:val="center"/>
      </w:pPr>
      <w:r>
        <w:rPr>
          <w:rFonts w:ascii="Times New Roman" w:cs="Times New Roman" w:eastAsia="Times New Roman" w:hAnsi="Times New Roman"/>
          <w:sz w:val="20"/>
          <w:szCs w:val="20"/>
        </w:rPr>
        <w:t xml:space="preserve">College of Information and Communications Technology</w:t>
      </w:r>
    </w:p>
    <w:p>
      <w:pPr>
        <w:spacing w:after="60"/>
        <w:jc w:val="center"/>
      </w:pPr>
      <w:r>
        <w:rPr>
          <w:rFonts w:ascii="Times New Roman" w:cs="Times New Roman" w:eastAsia="Times New Roman" w:hAnsi="Times New Roman"/>
          <w:b/>
          <w:bCs/>
          <w:sz w:val="32"/>
          <w:szCs w:val="32"/>
        </w:rPr>
        <w:t xml:space="preserve">Product Requirements Document</w:t>
      </w:r>
    </w:p>
    <w:p>
      <w:pPr>
        <w:spacing w:after="40"/>
        <w:jc w:val="center"/>
      </w:pPr>
      <w:r>
        <w:rPr>
          <w:rFonts w:ascii="Times New Roman" w:cs="Times New Roman" w:eastAsia="Times New Roman" w:hAnsi="Times New Roman"/>
          <w:b/>
          <w:bCs/>
          <w:sz w:val="26"/>
          <w:szCs w:val="26"/>
        </w:rPr>
        <w:t xml:space="preserve">Mobile Application Component</w:t>
      </w:r>
    </w:p>
    <w:p>
      <w:pPr>
        <w:spacing w:after="320"/>
        <w:jc w:val="center"/>
      </w:pPr>
      <w:r>
        <w:rPr>
          <w:rFonts w:ascii="Times New Roman" w:cs="Times New Roman" w:eastAsia="Times New Roman" w:hAnsi="Times New Roman"/>
          <w:i/>
          <w:iCs/>
          <w:sz w:val="22"/>
          <w:szCs w:val="22"/>
        </w:rPr>
        <w:t xml:space="preserve">Automated Salinity Monitoring and Controlled Balancing System for Enclosed Fishponds</w:t>
      </w:r>
    </w:p>
    <w:p>
      <w:pPr>
        <w:spacing w:after="80"/>
      </w:pPr>
      <w:r>
        <w:rPr>
          <w:rFonts w:ascii="Times New Roman" w:cs="Times New Roman" w:eastAsia="Times New Roman" w:hAnsi="Times New Roman"/>
          <w:b/>
          <w:bCs/>
          <w:sz w:val="22"/>
          <w:szCs w:val="22"/>
        </w:rPr>
        <w:t xml:space="preserve">Project: </w:t>
      </w:r>
      <w:r>
        <w:rPr>
          <w:rFonts w:ascii="Times New Roman" w:cs="Times New Roman" w:eastAsia="Times New Roman" w:hAnsi="Times New Roman"/>
          <w:sz w:val="22"/>
          <w:szCs w:val="22"/>
        </w:rPr>
        <w:t xml:space="preserve">Automated Salinity Monitoring and Controlled Balancing System for Enclosed Fishponds (Capstone 2)</w:t>
      </w:r>
    </w:p>
    <w:p>
      <w:pPr>
        <w:spacing w:after="80"/>
      </w:pPr>
      <w:r>
        <w:rPr>
          <w:rFonts w:ascii="Times New Roman" w:cs="Times New Roman" w:eastAsia="Times New Roman" w:hAnsi="Times New Roman"/>
          <w:b/>
          <w:bCs/>
          <w:sz w:val="22"/>
          <w:szCs w:val="22"/>
        </w:rPr>
        <w:t xml:space="preserve">Section: </w:t>
      </w:r>
      <w:r>
        <w:rPr>
          <w:rFonts w:ascii="Times New Roman" w:cs="Times New Roman" w:eastAsia="Times New Roman" w:hAnsi="Times New Roman"/>
          <w:sz w:val="22"/>
          <w:szCs w:val="22"/>
        </w:rPr>
        <w:t xml:space="preserve">BSIT 3C, Group 2</w:t>
      </w:r>
    </w:p>
    <w:p>
      <w:pPr>
        <w:spacing w:after="80"/>
      </w:pPr>
      <w:r>
        <w:rPr>
          <w:rFonts w:ascii="Times New Roman" w:cs="Times New Roman" w:eastAsia="Times New Roman" w:hAnsi="Times New Roman"/>
          <w:b/>
          <w:bCs/>
          <w:sz w:val="22"/>
          <w:szCs w:val="22"/>
        </w:rPr>
        <w:t xml:space="preserve">Prepared by: </w:t>
      </w:r>
      <w:r>
        <w:rPr>
          <w:rFonts w:ascii="Times New Roman" w:cs="Times New Roman" w:eastAsia="Times New Roman" w:hAnsi="Times New Roman"/>
          <w:sz w:val="22"/>
          <w:szCs w:val="22"/>
        </w:rPr>
        <w:t xml:space="preserve">Gonzales, Jean Geoseff F.; Liwanag, Roselene C.; Manalo, Ralf Jervy S.; Maningas, Felicity A.; San Diego, Gervyn Clyde S.</w:t>
      </w:r>
    </w:p>
    <w:p>
      <w:pPr>
        <w:spacing w:after="80"/>
      </w:pPr>
      <w:r>
        <w:rPr>
          <w:rFonts w:ascii="Times New Roman" w:cs="Times New Roman" w:eastAsia="Times New Roman" w:hAnsi="Times New Roman"/>
          <w:b/>
          <w:bCs/>
          <w:sz w:val="22"/>
          <w:szCs w:val="22"/>
        </w:rPr>
        <w:t xml:space="preserve">Adviser: </w:t>
      </w:r>
      <w:r>
        <w:rPr>
          <w:rFonts w:ascii="Times New Roman" w:cs="Times New Roman" w:eastAsia="Times New Roman" w:hAnsi="Times New Roman"/>
          <w:sz w:val="22"/>
          <w:szCs w:val="22"/>
        </w:rPr>
        <w:t xml:space="preserve">Dr. Archie Nel B. de Jesus</w:t>
      </w:r>
    </w:p>
    <w:p>
      <w:pPr>
        <w:spacing w:after="80"/>
      </w:pPr>
      <w:r>
        <w:rPr>
          <w:rFonts w:ascii="Times New Roman" w:cs="Times New Roman" w:eastAsia="Times New Roman" w:hAnsi="Times New Roman"/>
          <w:b/>
          <w:bCs/>
          <w:sz w:val="22"/>
          <w:szCs w:val="22"/>
        </w:rPr>
        <w:t xml:space="preserve">Source manuscript: </w:t>
      </w:r>
      <w:r>
        <w:rPr>
          <w:rFonts w:ascii="Times New Roman" w:cs="Times New Roman" w:eastAsia="Times New Roman" w:hAnsi="Times New Roman"/>
          <w:sz w:val="22"/>
          <w:szCs w:val="22"/>
        </w:rPr>
        <w:t xml:space="preserve">Automated Salinity Monitoring and Controlled Balancing System for Enclosed Fishponds (salinity_v52.docx)</w:t>
      </w:r>
    </w:p>
    <w:p>
      <w:pPr>
        <w:spacing w:after="80"/>
      </w:pPr>
      <w:r>
        <w:rPr>
          <w:rFonts w:ascii="Times New Roman" w:cs="Times New Roman" w:eastAsia="Times New Roman" w:hAnsi="Times New Roman"/>
          <w:b/>
          <w:bCs/>
          <w:sz w:val="22"/>
          <w:szCs w:val="22"/>
        </w:rPr>
        <w:t xml:space="preserve">Document date: </w:t>
      </w:r>
      <w:r>
        <w:rPr>
          <w:rFonts w:ascii="Times New Roman" w:cs="Times New Roman" w:eastAsia="Times New Roman" w:hAnsi="Times New Roman"/>
          <w:sz w:val="22"/>
          <w:szCs w:val="22"/>
        </w:rPr>
        <w:t xml:space="preserve">August 20, 2026</w:t>
      </w:r>
    </w:p>
    <w:p>
      <w:pPr>
        <w:spacing w:after="80"/>
      </w:pPr>
      <w:r>
        <w:rPr>
          <w:rFonts w:ascii="Times New Roman" w:cs="Times New Roman" w:eastAsia="Times New Roman" w:hAnsi="Times New Roman"/>
          <w:b/>
          <w:bCs/>
          <w:sz w:val="22"/>
          <w:szCs w:val="22"/>
        </w:rPr>
        <w:t xml:space="preserve">Document status: </w:t>
      </w:r>
      <w:r>
        <w:rPr>
          <w:rFonts w:ascii="Times New Roman" w:cs="Times New Roman" w:eastAsia="Times New Roman" w:hAnsi="Times New Roman"/>
          <w:sz w:val="22"/>
          <w:szCs w:val="22"/>
        </w:rPr>
        <w:t xml:space="preserve">All requirements in this document are drawn directly from the capstone manuscript. No feature not already described in the manuscript is added. Gaps in the manuscript are flagged in Section 12 rather than filled in with assumptions.</w:t>
      </w:r>
    </w:p>
    <w:p>
      <w:pPr>
        <w:pStyle w:val="Heading1"/>
        <w:spacing w:after="160" w:before="320"/>
      </w:pPr>
      <w:r>
        <w:rPr>
          <w:rFonts w:ascii="Times New Roman" w:cs="Times New Roman" w:eastAsia="Times New Roman" w:hAnsi="Times New Roman"/>
          <w:b/>
          <w:bCs/>
          <w:sz w:val="28"/>
          <w:szCs w:val="28"/>
        </w:rPr>
        <w:t xml:space="preserve">1. Purpose of This Document</w:t>
      </w:r>
    </w:p>
    <w:p>
      <w:pPr>
        <w:spacing w:after="160" w:line="276"/>
      </w:pPr>
      <w:r>
        <w:rPr>
          <w:rFonts w:ascii="Times New Roman" w:cs="Times New Roman" w:eastAsia="Times New Roman" w:hAnsi="Times New Roman"/>
          <w:sz w:val="22"/>
          <w:szCs w:val="22"/>
        </w:rPr>
        <w:t xml:space="preserve">This document defines the product requirements for the Flutter mobile application component of the Automated Salinity Monitoring and Controlled Balancing System. It serves two purposes. First, it is a documentation deliverable that describes the mobile application's requirements in one place for the capstone paper. Second, it is a build reference the development team can use while implementing the Flutter application, so the app matches what the manuscript already commits to.</w:t>
      </w:r>
    </w:p>
    <w:p>
      <w:pPr>
        <w:pStyle w:val="Heading1"/>
        <w:spacing w:after="160" w:before="320"/>
      </w:pPr>
      <w:r>
        <w:rPr>
          <w:rFonts w:ascii="Times New Roman" w:cs="Times New Roman" w:eastAsia="Times New Roman" w:hAnsi="Times New Roman"/>
          <w:b/>
          <w:bCs/>
          <w:sz w:val="28"/>
          <w:szCs w:val="28"/>
        </w:rPr>
        <w:t xml:space="preserve">2. Background</w:t>
      </w:r>
    </w:p>
    <w:p>
      <w:pPr>
        <w:spacing w:after="160" w:line="276"/>
      </w:pPr>
      <w:r>
        <w:rPr>
          <w:rFonts w:ascii="Times New Roman" w:cs="Times New Roman" w:eastAsia="Times New Roman" w:hAnsi="Times New Roman"/>
          <w:sz w:val="22"/>
          <w:szCs w:val="22"/>
        </w:rPr>
        <w:t xml:space="preserve">Small to medium scale fishpond operators in the Philippines commonly rely on manual salinity monitoring and periodic water exchange. This approach is reactive, labor intensive, and prone to delayed intervention during rapid salinity changes. The system replaces this manual practice with continuous sensing and automatic correction, and gives farmers a mobile application to observe salinity conditions and system activity without needing to be physically present at the tank.</w:t>
      </w:r>
    </w:p>
    <w:p>
      <w:pPr>
        <w:pStyle w:val="Heading1"/>
        <w:spacing w:after="160" w:before="320"/>
      </w:pPr>
      <w:r>
        <w:rPr>
          <w:rFonts w:ascii="Times New Roman" w:cs="Times New Roman" w:eastAsia="Times New Roman" w:hAnsi="Times New Roman"/>
          <w:b/>
          <w:bCs/>
          <w:sz w:val="28"/>
          <w:szCs w:val="28"/>
        </w:rPr>
        <w:t xml:space="preserve">3. Product Objective</w:t>
      </w:r>
    </w:p>
    <w:p>
      <w:pPr>
        <w:spacing w:after="160" w:line="276"/>
      </w:pPr>
      <w:r>
        <w:rPr>
          <w:rFonts w:ascii="Times New Roman" w:cs="Times New Roman" w:eastAsia="Times New Roman" w:hAnsi="Times New Roman"/>
          <w:sz w:val="22"/>
          <w:szCs w:val="22"/>
        </w:rPr>
        <w:t xml:space="preserve">The manuscript states the mobile application objective as: "a mobile application interface accessible over the internet through a Firebase Realtime Database for real-time monitoring and data log viewing." This is Objective 2.4 of the study.</w:t>
      </w:r>
    </w:p>
    <w:p>
      <w:pPr>
        <w:pStyle w:val="Heading1"/>
        <w:spacing w:after="160" w:before="320"/>
      </w:pPr>
      <w:r>
        <w:rPr>
          <w:rFonts w:ascii="Times New Roman" w:cs="Times New Roman" w:eastAsia="Times New Roman" w:hAnsi="Times New Roman"/>
          <w:b/>
          <w:bCs/>
          <w:sz w:val="28"/>
          <w:szCs w:val="28"/>
        </w:rPr>
        <w:t xml:space="preserve">4. Target User</w:t>
      </w:r>
    </w:p>
    <w:p>
      <w:pPr>
        <w:spacing w:after="160" w:line="276"/>
      </w:pPr>
      <w:r>
        <w:rPr>
          <w:rFonts w:ascii="Times New Roman" w:cs="Times New Roman" w:eastAsia="Times New Roman" w:hAnsi="Times New Roman"/>
          <w:sz w:val="22"/>
          <w:szCs w:val="22"/>
        </w:rPr>
        <w:t xml:space="preserve">The Fish Farmer is the primary and only operational actor of the mobile application. The use case diagram in the manuscript defines three actor interactions: View Real-Time Salinity, View System Status, and View Salinity Logs. All three are performed by reading data from the Firebase Realtime Database through the mobile application.</w:t>
      </w:r>
    </w:p>
    <w:p>
      <w:pPr>
        <w:spacing w:after="160" w:line="276"/>
      </w:pPr>
      <w:r>
        <w:rPr>
          <w:rFonts w:ascii="Times New Roman" w:cs="Times New Roman" w:eastAsia="Times New Roman" w:hAnsi="Times New Roman"/>
          <w:sz w:val="22"/>
          <w:szCs w:val="22"/>
        </w:rPr>
        <w:t xml:space="preserve">IT Experts and IT Faculty appear in the manuscript as respondents during the Phase 5 evaluation, assessing technical architecture, code quality, and adherence to academic and engineering standards. They are evaluators of the system, not operational users of the app in normal use.</w:t>
      </w:r>
    </w:p>
    <w:p>
      <w:pPr>
        <w:pStyle w:val="Heading1"/>
        <w:spacing w:after="160" w:before="320"/>
      </w:pPr>
      <w:r>
        <w:rPr>
          <w:rFonts w:ascii="Times New Roman" w:cs="Times New Roman" w:eastAsia="Times New Roman" w:hAnsi="Times New Roman"/>
          <w:b/>
          <w:bCs/>
          <w:sz w:val="28"/>
          <w:szCs w:val="28"/>
        </w:rPr>
        <w:t xml:space="preserve">5. Scope</w:t>
      </w:r>
    </w:p>
    <w:p>
      <w:pPr>
        <w:pStyle w:val="Heading2"/>
        <w:spacing w:after="120" w:before="240"/>
      </w:pPr>
      <w:r>
        <w:rPr>
          <w:rFonts w:ascii="Times New Roman" w:cs="Times New Roman" w:eastAsia="Times New Roman" w:hAnsi="Times New Roman"/>
          <w:b/>
          <w:bCs/>
          <w:sz w:val="24"/>
          <w:szCs w:val="24"/>
        </w:rPr>
        <w:t xml:space="preserve">5.1 In Scope</w:t>
      </w:r>
    </w:p>
    <w:p>
      <w:pPr>
        <w:spacing w:after="160" w:line="276"/>
      </w:pPr>
      <w:r>
        <w:rPr>
          <w:rFonts w:ascii="Times New Roman" w:cs="Times New Roman" w:eastAsia="Times New Roman" w:hAnsi="Times New Roman"/>
          <w:sz w:val="22"/>
          <w:szCs w:val="22"/>
        </w:rPr>
        <w:t xml:space="preserve">The manuscript describes the following capabilities as part of the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Capability</w:t>
            </w:r>
          </w:p>
        </w:tc>
        <w:tc>
          <w:tcPr>
            <w:tcW w:type="dxa" w:w="53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Manuscript Reference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View real time salinity reading</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Case Diagram; Description of the Prototype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View active Tilapia grow-out preset name and target salinity range</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Description of the Prototype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View system status</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Case Diagram</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View timestamped salinity log at any time during or after a session</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Case Diagram; FT-07</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Display sensor fault alert</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FT-06; definition of Fault, Chapter I</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Display pump fault alert</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FT-08</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Display low reservoir alert</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FT-09</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Display overcorrection alert</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Definition of Overcorrection, Chapter I</w:t>
            </w:r>
          </w:p>
        </w:tc>
      </w:tr>
    </w:tbl>
    <w:p>
      <w:pPr>
        <w:spacing w:after="200"/>
      </w:pPr>
    </w:p>
    <w:p>
      <w:pPr>
        <w:pStyle w:val="Heading2"/>
        <w:spacing w:after="120" w:before="240"/>
      </w:pPr>
      <w:r>
        <w:rPr>
          <w:rFonts w:ascii="Times New Roman" w:cs="Times New Roman" w:eastAsia="Times New Roman" w:hAnsi="Times New Roman"/>
          <w:b/>
          <w:bCs/>
          <w:sz w:val="24"/>
          <w:szCs w:val="24"/>
        </w:rPr>
        <w:t xml:space="preserve">5.2 Out of Scope</w:t>
      </w:r>
    </w:p>
    <w:p>
      <w:pPr>
        <w:spacing w:after="160" w:line="276"/>
      </w:pPr>
      <w:r>
        <w:rPr>
          <w:rFonts w:ascii="Times New Roman" w:cs="Times New Roman" w:eastAsia="Times New Roman" w:hAnsi="Times New Roman"/>
          <w:sz w:val="22"/>
          <w:szCs w:val="22"/>
        </w:rPr>
        <w:t xml:space="preserve">The manuscript explicitly excludes the following from the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Excluded Item</w:t>
            </w:r>
          </w:p>
        </w:tc>
        <w:tc>
          <w:tcPr>
            <w:tcW w:type="dxa" w:w="53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Manuscript Reference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Sending commands or configuration changes to the ESP32</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Purpose and Description; Scope and Limitations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Stopping or starting the correction system from the app</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Case Diagram</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Changing thresholds, presets, or any device configuration</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Scope and Limitations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Monitoring water quality parameters other than salinity (for example dissolved oxygen, pH, ammonia)</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Scope and Limitations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Support for tilapia life stages other than grow-out, or for species other than tilapia</w:t>
            </w:r>
          </w:p>
        </w:tc>
        <w:tc>
          <w:tcPr>
            <w:tcW w:type="dxa" w:w="5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Scope and Limitations</w:t>
            </w:r>
          </w:p>
        </w:tc>
      </w:tr>
    </w:tbl>
    <w:p>
      <w:pPr>
        <w:spacing w:after="200"/>
      </w:pPr>
    </w:p>
    <w:p>
      <w:pPr>
        <w:pStyle w:val="Heading1"/>
        <w:spacing w:after="160" w:before="320"/>
      </w:pPr>
      <w:r>
        <w:rPr>
          <w:rFonts w:ascii="Times New Roman" w:cs="Times New Roman" w:eastAsia="Times New Roman" w:hAnsi="Times New Roman"/>
          <w:b/>
          <w:bCs/>
          <w:sz w:val="28"/>
          <w:szCs w:val="28"/>
        </w:rPr>
        <w:t xml:space="preserve">6. System Architecture and Data Flow</w:t>
      </w:r>
    </w:p>
    <w:p>
      <w:pPr>
        <w:spacing w:after="160" w:line="276"/>
      </w:pPr>
      <w:r>
        <w:rPr>
          <w:rFonts w:ascii="Times New Roman" w:cs="Times New Roman" w:eastAsia="Times New Roman" w:hAnsi="Times New Roman"/>
          <w:sz w:val="22"/>
          <w:szCs w:val="22"/>
        </w:rPr>
        <w:t xml:space="preserve">The ESP32 and the Flutter application connect to the same Firebase Realtime Database independently. The ESP32 writes sensor readings and pump status over the internet using the FirebaseClient library's UserAuth provider, authenticated with a dedicated device account. The Flutter application reads from the same database using FlutterFire, authenticated with its own separate app account. The app does not connect to the ESP32 directly.</w:t>
      </w:r>
    </w:p>
    <w:p>
      <w:pPr>
        <w:spacing w:after="160" w:line="276"/>
      </w:pPr>
      <w:r>
        <w:rPr>
          <w:rFonts w:ascii="Times New Roman" w:cs="Times New Roman" w:eastAsia="Times New Roman" w:hAnsi="Times New Roman"/>
          <w:sz w:val="22"/>
          <w:szCs w:val="22"/>
        </w:rPr>
        <w:t xml:space="preserve">Firebase security rules enforce the separation: write access on the sensor data path is restricted to the device account, and read access is restricted to the app account. Neither account can perform the other's role.</w:t>
      </w:r>
    </w:p>
    <w:p>
      <w:pPr>
        <w:spacing w:after="160" w:line="276"/>
      </w:pPr>
      <w:r>
        <w:rPr>
          <w:rFonts w:ascii="Times New Roman" w:cs="Times New Roman" w:eastAsia="Times New Roman" w:hAnsi="Times New Roman"/>
          <w:sz w:val="22"/>
          <w:szCs w:val="22"/>
        </w:rPr>
        <w:t xml:space="preserve">The ESP32 and the app each require their own internet connection. They do not need to share a network. If the ESP32 loses its internet connection, it continues automated correction using the thresholds already loaded, and only remote monitoring through the app is affected until connectivity returns (FT-10). If the app loses its connection, only its ability to read monitoring data is affected. The ESP32's correction cycle is not affected.</w:t>
      </w:r>
    </w:p>
    <w:p>
      <w:pPr>
        <w:spacing w:after="160" w:line="276"/>
      </w:pPr>
      <w:r>
        <w:rPr>
          <w:rFonts w:ascii="Times New Roman" w:cs="Times New Roman" w:eastAsia="Times New Roman" w:hAnsi="Times New Roman"/>
          <w:sz w:val="22"/>
          <w:szCs w:val="22"/>
        </w:rPr>
        <w:t xml:space="preserve">The backend runs on the free Spark tier of Firebase Realtime Database.</w:t>
      </w:r>
    </w:p>
    <w:p>
      <w:pPr>
        <w:pStyle w:val="Heading1"/>
        <w:spacing w:after="160" w:before="320"/>
      </w:pPr>
      <w:r>
        <w:rPr>
          <w:rFonts w:ascii="Times New Roman" w:cs="Times New Roman" w:eastAsia="Times New Roman" w:hAnsi="Times New Roman"/>
          <w:b/>
          <w:bCs/>
          <w:sz w:val="28"/>
          <w:szCs w:val="28"/>
        </w:rPr>
        <w:t xml:space="preserve">7.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ID</w:t>
            </w:r>
          </w:p>
        </w:tc>
        <w:tc>
          <w:tcPr>
            <w:tcW w:type="dxa" w:w="55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w:t>
            </w:r>
          </w:p>
        </w:tc>
        <w:tc>
          <w:tcPr>
            <w:tcW w:type="dxa" w:w="31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Manuscript Reference</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FR-01</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displays the current salinity reading in real time.</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Description of the Prototype</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FR-02</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displays the active Tilapia grow-out preset name and its target salinity range.</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Description of the Prototype</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FR-03</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displays current system status.</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Case Diagram; Description of the Prototype</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FR-04</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reflects the Tilapia grow-out preset loading automatically at ESP32 power up, without requiring farmer action.</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Description of the Prototype</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FR-05</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provides access to the timestamped salinity log at any time during or after a session.</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Case Diagram; FT-07</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FR-06</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displays a sensor fault alert when the EC sensor returns a disconnected or out of range reading.</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FT-06; Definition of Fault</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FR-07</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displays a pump fault alert when an activated pump produces no measurable salinity change within the 24-second timeout.</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FT-08</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FR-08</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displays a low reservoir alert before the affected pump can run dry.</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FT-09</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FR-09</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displays an overcorrection alert when, after a completed correction cycle, salinity crosses the activation threshold in the opposite direction.</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Definition of Overcorrection</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FR-10</w:t>
            </w:r>
          </w:p>
        </w:tc>
        <w:tc>
          <w:tcPr>
            <w:tcW w:type="dxa" w:w="5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contains no control input path back to the ESP32. It cannot send commands or change settings.</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Purpose and Description; Scope and Limitations</w:t>
            </w:r>
          </w:p>
        </w:tc>
      </w:tr>
    </w:tbl>
    <w:p>
      <w:pPr>
        <w:spacing w:after="200"/>
      </w:pPr>
    </w:p>
    <w:p>
      <w:pPr>
        <w:pStyle w:val="Heading1"/>
        <w:spacing w:after="160" w:before="320"/>
      </w:pPr>
      <w:r>
        <w:rPr>
          <w:rFonts w:ascii="Times New Roman" w:cs="Times New Roman" w:eastAsia="Times New Roman" w:hAnsi="Times New Roman"/>
          <w:b/>
          <w:bCs/>
          <w:sz w:val="28"/>
          <w:szCs w:val="28"/>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69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Platform</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Android or iOS smartphone.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Framework</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Flutter SDK 3.x or later.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Backend integration</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firebase_core, firebase_auth, and firebase_database packages through FlutterFire.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Authentication</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authenticates with its own dedicated user account through FlutterFire, separate from the ESP32's device account.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Connectivity</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requires its own internet connection. It does not need to share a network with the ESP32.</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Access control</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Read only. Firebase security rules restrict the app account to read access and block write access on the sensor data path.</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Interaction capability</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Evaluated per ISO/IEC 25010:2023, which replaces the 2011 "usability" characteristic. This assesses whether the app can be operated and understood by target users to achieve their monitoring goals effectively, efficiently, and with satisfaction.</w:t>
            </w:r>
          </w:p>
        </w:tc>
      </w:tr>
    </w:tbl>
    <w:p>
      <w:pPr>
        <w:spacing w:after="200"/>
      </w:pPr>
    </w:p>
    <w:p>
      <w:pPr>
        <w:spacing w:after="160" w:line="276"/>
      </w:pPr>
      <w:r>
        <w:rPr>
          <w:rFonts w:ascii="Times New Roman" w:cs="Times New Roman" w:eastAsia="Times New Roman" w:hAnsi="Times New Roman"/>
          <w:sz w:val="22"/>
          <w:szCs w:val="22"/>
        </w:rPr>
        <w:t xml:space="preserve">The manuscript sets an explicit numeric acceptance target for functional suitability (all blackbox test cases must pass, sensor accuracy within plus or minus 1 ppt) and for reliability (99 percent uptime over a 72-hour test). It does not set an equivalent numeric acceptance target for interaction capability. Interaction capability is scored only against the general descriptive Likert scale in Table 6 of the manuscript (5.00 to 4.50 Excellent, down to 1.49 to 1.00 Poor), with no stated minimum score the app must reach to pass.</w:t>
      </w:r>
    </w:p>
    <w:p>
      <w:pPr>
        <w:pStyle w:val="Heading1"/>
        <w:spacing w:after="160" w:before="320"/>
      </w:pPr>
      <w:r>
        <w:rPr>
          <w:rFonts w:ascii="Times New Roman" w:cs="Times New Roman" w:eastAsia="Times New Roman" w:hAnsi="Times New Roman"/>
          <w:b/>
          <w:bCs/>
          <w:sz w:val="28"/>
          <w:szCs w:val="28"/>
        </w:rPr>
        <w:t xml:space="preserve">9. Alerts and Fault Handling</w:t>
      </w:r>
    </w:p>
    <w:p>
      <w:pPr>
        <w:spacing w:after="160" w:line="276"/>
      </w:pPr>
      <w:r>
        <w:rPr>
          <w:rFonts w:ascii="Times New Roman" w:cs="Times New Roman" w:eastAsia="Times New Roman" w:hAnsi="Times New Roman"/>
          <w:sz w:val="22"/>
          <w:szCs w:val="22"/>
        </w:rPr>
        <w:t xml:space="preserve">Fault is defined in the manuscript as a condition where the EC sensor returns a disconnected or out of range reading, or an activated pump fails to produce a measurable salinity change within its timeout. A fault condition causes the ESP32 to deactivate all pumps and transmit an alert to the app. Overcorrection is defined separately, as a condition where a completed correction cycle pushes salinity past the activation threshold on the opposite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Alert</w:t>
            </w:r>
          </w:p>
        </w:tc>
        <w:tc>
          <w:tcPr>
            <w:tcW w:type="dxa" w:w="39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Trigger Condition</w:t>
            </w:r>
          </w:p>
        </w:tc>
        <w:tc>
          <w:tcPr>
            <w:tcW w:type="dxa" w:w="35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App Behavior</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Sensor fault</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EC sensor returns a disconnected or out of range reading.</w:t>
            </w:r>
          </w:p>
        </w:tc>
        <w:tc>
          <w:tcPr>
            <w:tcW w:type="dxa" w:w="3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Sensor fault alert displayed, within 10 seconds per FT-06.</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Pump fault</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Activated pump does not change salinity by at least 0.5 ppt within a 24-second timeout.</w:t>
            </w:r>
          </w:p>
        </w:tc>
        <w:tc>
          <w:tcPr>
            <w:tcW w:type="dxa" w:w="3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Pump fault alert displayed.</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 reservoir</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Float sensor signals low fill on either reservoir during operation.</w:t>
            </w:r>
          </w:p>
        </w:tc>
        <w:tc>
          <w:tcPr>
            <w:tcW w:type="dxa" w:w="3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 reservoir alert displayed before the affected pump runs dry.</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Overcorrection</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After a completed correction cycle, salinity crosses the activation threshold on the opposite side.</w:t>
            </w:r>
          </w:p>
        </w:tc>
        <w:tc>
          <w:tcPr>
            <w:tcW w:type="dxa" w:w="3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Overcorrection alert displayed.</w:t>
            </w:r>
          </w:p>
        </w:tc>
      </w:tr>
    </w:tbl>
    <w:p>
      <w:pPr>
        <w:spacing w:after="200"/>
      </w:pPr>
    </w:p>
    <w:p>
      <w:pPr>
        <w:pStyle w:val="Heading1"/>
        <w:spacing w:after="160" w:before="320"/>
      </w:pPr>
      <w:r>
        <w:rPr>
          <w:rFonts w:ascii="Times New Roman" w:cs="Times New Roman" w:eastAsia="Times New Roman" w:hAnsi="Times New Roman"/>
          <w:b/>
          <w:bCs/>
          <w:sz w:val="28"/>
          <w:szCs w:val="28"/>
        </w:rPr>
        <w:t xml:space="preserve">10. Acceptance Criteria and Evaluation</w:t>
      </w:r>
    </w:p>
    <w:p>
      <w:pPr>
        <w:pStyle w:val="Heading2"/>
        <w:spacing w:after="120" w:before="240"/>
      </w:pPr>
      <w:r>
        <w:rPr>
          <w:rFonts w:ascii="Times New Roman" w:cs="Times New Roman" w:eastAsia="Times New Roman" w:hAnsi="Times New Roman"/>
          <w:b/>
          <w:bCs/>
          <w:sz w:val="24"/>
          <w:szCs w:val="24"/>
        </w:rPr>
        <w:t xml:space="preserve">10.1 Blackbox Test Cases Relevant to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Test No.</w:t>
            </w:r>
          </w:p>
        </w:tc>
        <w:tc>
          <w:tcPr>
            <w:tcW w:type="dxa" w:w="22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Module</w:t>
            </w:r>
          </w:p>
        </w:tc>
        <w:tc>
          <w:tcPr>
            <w:tcW w:type="dxa" w:w="61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Expected App-Visible Output</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FT-06</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Failsafe</w:t>
            </w:r>
          </w:p>
        </w:tc>
        <w:tc>
          <w:tcPr>
            <w:tcW w:type="dxa" w:w="61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Sensor error displayed on app within 10 seconds of EC sensor disconnection.</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 Logging</w:t>
            </w:r>
          </w:p>
        </w:tc>
        <w:tc>
          <w:tcPr>
            <w:tcW w:type="dxa" w:w="61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Timestamped salinity readings logged at 30-second intervals and accessible on the app.</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Pump Failure Detection</w:t>
            </w:r>
          </w:p>
        </w:tc>
        <w:tc>
          <w:tcPr>
            <w:tcW w:type="dxa" w:w="61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Fault alert displayed on the app when a pump fails to produce the expected salinity change.</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FT-09</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Empty Reservoir Detection</w:t>
            </w:r>
          </w:p>
        </w:tc>
        <w:tc>
          <w:tcPr>
            <w:tcW w:type="dxa" w:w="61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 reservoir alert displayed on the app before the affected pump runs dry.</w:t>
            </w:r>
          </w:p>
        </w:tc>
      </w:tr>
    </w:tbl>
    <w:p>
      <w:pPr>
        <w:spacing w:after="200"/>
      </w:pPr>
    </w:p>
    <w:p>
      <w:pPr>
        <w:pStyle w:val="Heading2"/>
        <w:spacing w:after="120" w:before="240"/>
      </w:pPr>
      <w:r>
        <w:rPr>
          <w:rFonts w:ascii="Times New Roman" w:cs="Times New Roman" w:eastAsia="Times New Roman" w:hAnsi="Times New Roman"/>
          <w:b/>
          <w:bCs/>
          <w:sz w:val="24"/>
          <w:szCs w:val="24"/>
        </w:rPr>
        <w:t xml:space="preserve">10.2 ISO/IEC 25010:2023 Evaluation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Respondent Group</w:t>
            </w:r>
          </w:p>
        </w:tc>
        <w:tc>
          <w:tcPr>
            <w:tcW w:type="dxa" w:w="1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Frequency</w:t>
            </w:r>
          </w:p>
        </w:tc>
        <w:tc>
          <w:tcPr>
            <w:tcW w:type="dxa" w:w="1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Percentage</w:t>
            </w:r>
          </w:p>
        </w:tc>
        <w:tc>
          <w:tcPr>
            <w:tcW w:type="dxa" w:w="25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Role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Fish Farmers (small to medium scale)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33.33%</w:t>
            </w:r>
          </w:p>
        </w:tc>
        <w:tc>
          <w:tcPr>
            <w:tcW w:type="dxa" w:w="2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Operational users of the app and physical prototype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IT Experts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20.00%</w:t>
            </w:r>
          </w:p>
        </w:tc>
        <w:tc>
          <w:tcPr>
            <w:tcW w:type="dxa" w:w="2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Assess technical architecture and code quality</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IT Faculty</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46.67%</w:t>
            </w:r>
          </w:p>
        </w:tc>
        <w:tc>
          <w:tcPr>
            <w:tcW w:type="dxa" w:w="2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Evaluate against academic and engineering standards</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100.00%</w:t>
            </w:r>
          </w:p>
        </w:tc>
        <w:tc>
          <w:tcPr>
            <w:tcW w:type="dxa" w:w="25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r>
    </w:tbl>
    <w:p>
      <w:pPr>
        <w:spacing w:after="200"/>
      </w:pPr>
    </w:p>
    <w:p>
      <w:pPr>
        <w:spacing w:after="160" w:line="276"/>
      </w:pPr>
      <w:r>
        <w:rPr>
          <w:rFonts w:ascii="Times New Roman" w:cs="Times New Roman" w:eastAsia="Times New Roman" w:hAnsi="Times New Roman"/>
          <w:sz w:val="22"/>
          <w:szCs w:val="22"/>
        </w:rPr>
        <w:t xml:space="preserve">Respondents rate the system using a 5-point Likert scale: 4.50 to 5.00 is Excellent, 3.50 to 4.49 is Very Good, 2.50 to 3.49 is Good, 1.50 to 2.49 is Fair, and 1.00 to 1.49 is Poor.</w:t>
      </w:r>
    </w:p>
    <w:p>
      <w:pPr>
        <w:pStyle w:val="Heading1"/>
        <w:spacing w:after="160" w:before="320"/>
      </w:pPr>
      <w:r>
        <w:rPr>
          <w:rFonts w:ascii="Times New Roman" w:cs="Times New Roman" w:eastAsia="Times New Roman" w:hAnsi="Times New Roman"/>
          <w:b/>
          <w:bCs/>
          <w:sz w:val="28"/>
          <w:szCs w:val="28"/>
        </w:rPr>
        <w:t xml:space="preserve">11. Constraints and Assumptions</w:t>
      </w:r>
    </w:p>
    <w:p>
      <w:pPr>
        <w:pStyle w:val="Heading2"/>
        <w:spacing w:after="120" w:before="240"/>
      </w:pPr>
      <w:r>
        <w:rPr>
          <w:rFonts w:ascii="Times New Roman" w:cs="Times New Roman" w:eastAsia="Times New Roman" w:hAnsi="Times New Roman"/>
          <w:b/>
          <w:bCs/>
          <w:sz w:val="24"/>
          <w:szCs w:val="24"/>
        </w:rPr>
        <w:t xml:space="preserve">11.1 Constraints</w:t>
      </w:r>
    </w:p>
    <w:p>
      <w:pPr>
        <w:spacing w:after="160" w:line="276"/>
      </w:pPr>
      <w:r>
        <w:rPr>
          <w:rFonts w:ascii="Times New Roman" w:cs="Times New Roman" w:eastAsia="Times New Roman" w:hAnsi="Times New Roman"/>
          <w:sz w:val="22"/>
          <w:szCs w:val="22"/>
        </w:rPr>
        <w:t xml:space="preserve">The app is limited to reading monitoring data. It cannot send commands or change settings on the ESP32. It requires its own internet connection, separate from the ESP32's network.</w:t>
      </w:r>
    </w:p>
    <w:p>
      <w:pPr>
        <w:pStyle w:val="Heading2"/>
        <w:spacing w:after="120" w:before="240"/>
      </w:pPr>
      <w:r>
        <w:rPr>
          <w:rFonts w:ascii="Times New Roman" w:cs="Times New Roman" w:eastAsia="Times New Roman" w:hAnsi="Times New Roman"/>
          <w:b/>
          <w:bCs/>
          <w:sz w:val="24"/>
          <w:szCs w:val="24"/>
        </w:rPr>
        <w:t xml:space="preserve">11.2 Assumptions</w:t>
      </w:r>
    </w:p>
    <w:p>
      <w:pPr>
        <w:spacing w:after="160" w:line="276"/>
      </w:pPr>
      <w:r>
        <w:rPr>
          <w:rFonts w:ascii="Times New Roman" w:cs="Times New Roman" w:eastAsia="Times New Roman" w:hAnsi="Times New Roman"/>
          <w:sz w:val="22"/>
          <w:szCs w:val="22"/>
        </w:rPr>
        <w:t xml:space="preserve">The mobile device used for the Flutter application is assumed to be researcher owned. It is excluded from the prototype hardware cost estimate in the manuscript's cost analysis.</w:t>
      </w:r>
    </w:p>
    <w:p>
      <w:pPr>
        <w:pStyle w:val="Heading1"/>
        <w:spacing w:after="160" w:before="320"/>
      </w:pPr>
      <w:r>
        <w:rPr>
          <w:rFonts w:ascii="Times New Roman" w:cs="Times New Roman" w:eastAsia="Times New Roman" w:hAnsi="Times New Roman"/>
          <w:b/>
          <w:bCs/>
          <w:sz w:val="28"/>
          <w:szCs w:val="28"/>
        </w:rPr>
        <w:t xml:space="preserve">12. Gaps Not Specified in the Manuscript</w:t>
      </w:r>
    </w:p>
    <w:p>
      <w:pPr>
        <w:spacing w:after="160" w:line="276"/>
      </w:pPr>
      <w:r>
        <w:rPr>
          <w:rFonts w:ascii="Times New Roman" w:cs="Times New Roman" w:eastAsia="Times New Roman" w:hAnsi="Times New Roman"/>
          <w:sz w:val="22"/>
          <w:szCs w:val="22"/>
        </w:rPr>
        <w:t xml:space="preserve">The manuscript defines what the app must show and the data path it reads from, but it does not specify how the app should be built at the screen level. The items below are not requirements. They are gaps a development team would need to resolve before or during implementation, and they are flagged here rather than filled in with invented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Item</w:t>
            </w:r>
          </w:p>
        </w:tc>
        <w:tc>
          <w:tcPr>
            <w:tcW w:type="dxa" w:w="69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Screen layout and navigation</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manuscript lists what data the app shows but does not specify the number of screens, their layout, or how the farmer navigates between them.</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App refresh interval</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ESP32 side is fully specified: a 5-second control cycle and 30-second SPIFFS logging interval. The manuscript does not state whether the app uses a live Firebase listener or polls at a fixed interval.</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Alert delivery mechanism</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manuscript states alerts are "displayed on the mobile application" but does not specify push notification, in-app banner, sound, or vibration.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Farmer accounts</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app authenticates using a single app-level account through FlutterFire. The manuscript does not describe individual farmer logins or multi-user access.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Behavior during lost connection</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manuscript states that a lost app connection affects monitoring but does not specify what the app shows during that period, for example a cached last reading, an error state, or a blank screen.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Distribution</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manuscript does not specify whether the app will be distributed through an app store, a direct install file, or side-loaded only for evaluation respondents.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Log query range or export</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manuscript states the log is viewable "at any time during or after a session" but does not specify date filtering, search, or export.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Overcorrection alert traceability</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overcorrection alert is defined in Chapter I and referenced in the Description of the Prototype, but it is not mapped to any numbered case in Table 3 of the manuscript. FT-06, FT-08, and FT-09 cover the other three app alerts. This is a test coverage gap worth raising with the adviser before Phase 4 testing.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FR-10 verification</w:t>
            </w:r>
          </w:p>
        </w:tc>
        <w:tc>
          <w:tcPr>
            <w:tcW w:type="dxa" w:w="6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control input path back to the ESP32 (FR-10) is stated as a design property but is not tied to any blackbox test case in Table 3. Absence of a control feature is not naturally a pass or fail input or output test. It is better suited to a code or architecture review, which the manuscript already schedules under the IT Expert evaluation in Phase 5.</w:t>
            </w:r>
          </w:p>
        </w:tc>
      </w:tr>
    </w:tbl>
    <w:p>
      <w:pPr>
        <w:spacing w:after="200"/>
      </w:pPr>
    </w:p>
    <w:p>
      <w:pPr>
        <w:pStyle w:val="Heading1"/>
        <w:spacing w:after="160" w:before="320"/>
      </w:pPr>
      <w:r>
        <w:rPr>
          <w:rFonts w:ascii="Times New Roman" w:cs="Times New Roman" w:eastAsia="Times New Roman" w:hAnsi="Times New Roman"/>
          <w:b/>
          <w:bCs/>
          <w:sz w:val="28"/>
          <w:szCs w:val="28"/>
        </w:rPr>
        <w:t xml:space="preserve">13. Recommendations</w:t>
      </w:r>
    </w:p>
    <w:p>
      <w:pPr>
        <w:spacing w:after="160" w:line="276"/>
      </w:pPr>
      <w:r>
        <w:rPr>
          <w:rFonts w:ascii="Times New Roman" w:cs="Times New Roman" w:eastAsia="Times New Roman" w:hAnsi="Times New Roman"/>
          <w:sz w:val="22"/>
          <w:szCs w:val="22"/>
        </w:rPr>
        <w:t xml:space="preserve">The items below respond to the gaps in Section 12. They are proposals for the development team to adopt, not requirements drawn from the manuscript. Recommendations 8 and 9 affect the manuscript's testing and evaluation design and need adviser confirmation before Phase 4 or Phase 5 work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Item</w:t>
            </w:r>
          </w:p>
        </w:tc>
        <w:tc>
          <w:tcPr>
            <w:tcW w:type="dxa" w:w="3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Recommendation</w:t>
            </w:r>
          </w:p>
        </w:tc>
        <w:tc>
          <w:tcPr>
            <w:tcW w:type="dxa" w:w="396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Rationale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 Screen layout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Build two screens: a Dashboard showing live reading, preset name, target range, pump status, and an alert banner, and a Log screen showing timestamped history.</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Covers all three use cases without navigation complexity the prototype does not need.</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 Refresh method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Firebase's real time listener (onValue), not polling.</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Matches the manuscript's own "real-time monitoring" wording and needs less code than a polling timer.</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 Alert delivery</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 an in-app banner, not push notifications.</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Avoids Firebase Cloud Messaging and background handling not needed for a supervised lab prototype.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 Farmer accounts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Keep the single shared app account already described in the manuscript.</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Individual logins add a feature the manuscript does not claim, and the data is not farmer specific.</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 Lost connection behavior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Show the last received reading with a timestamp, plus an offline or reconnecting label, using Firebase's .info/connected reference.</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Avoids a blank screen or error dialog that could read as a crash.</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 Distribution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Sideload a direct APK for Android during evaluation. Treat iOS as optional.</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App store review adds delay not needed for a one time evaluation with 30 respondents.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 Log range and export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Keep the log as a scrollable chronological list with no date filter. Add one CSV export button if time allows.</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Test sessions are short, the longest being the 72-hour stability run. CSV export supports the Chapter 4 results tables.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 Interaction capability threshold</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Propose 3.50 as the minimum acceptable mean score, matching the "Very Good" cutoff already in Table 6.</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Functional suitability and reliability both have numeric pass criteria. Interaction capability currently does not.</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 Overcorrection test case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Add FT-12: simulate an overshoot past the activation threshold and confirm the overcorrection alert displays.</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It is the only app alert with no blackbox test case currently tied to it.</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 FR-10 verification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Verify the absence of any control path from app to ESP32 through code review during the IT Expert evaluation in Phase 5, rather than a blackbox test case.</w:t>
            </w:r>
          </w:p>
        </w:tc>
        <w:tc>
          <w:tcPr>
            <w:tcW w:type="dxa" w:w="39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Absence of a feature does not fit a pass or fail input or output test the way FT-01 through FT-11 do.</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Mobile Application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2026-08-20T16:21:26.808Z</dcterms:created>
  <dcterms:modified xsi:type="dcterms:W3CDTF">2026-08-20T16:21:26.821Z</dcterms:modified>
</cp:coreProperties>
</file>

<file path=docProps/custom.xml><?xml version="1.0" encoding="utf-8"?>
<Properties xmlns="http://schemas.openxmlformats.org/officeDocument/2006/custom-properties" xmlns:vt="http://schemas.openxmlformats.org/officeDocument/2006/docPropsVTypes"/>
</file>