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480" w:after="0"/>
        <w:jc w:val="center"/>
        <w:rPr/>
      </w:pPr>
      <w:bookmarkStart w:id="0" w:name="prasentation-smile"/>
      <w:bookmarkEnd w:id="0"/>
      <w:r>
        <w:rPr/>
        <w:t>Präsentation SMILE</w:t>
      </w:r>
    </w:p>
    <w:p>
      <w:pPr>
        <w:pStyle w:val="Normal"/>
        <w:spacing w:lineRule="auto" w:line="240"/>
        <w:jc w:val="both"/>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spacing w:lineRule="auto" w:line="240"/>
        <w:jc w:val="both"/>
        <w:rPr/>
      </w:pPr>
      <w:r>
        <w:rPr/>
        <w:t>SMILE hat insgesamt 30 ganz Tages Mitarbeiter die für die drei Sektionen C3, Cases und Circl Arbeiten. Sie sind ansässig in dem Gebäude HSBC Bank in der Stad Luxembourg.</w:t>
      </w:r>
    </w:p>
    <w:p>
      <w:pPr>
        <w:pStyle w:val="FirstParagraph"/>
        <w:spacing w:lineRule="auto" w:line="240"/>
        <w:jc w:val="both"/>
        <w:rPr/>
      </w:pPr>
      <w:r>
        <w:rPr/>
        <w:t>Dabei umfasst SMILE die Sectionen C3, Cases und Circl.</w:t>
      </w:r>
    </w:p>
    <w:p>
      <w:pPr>
        <w:pStyle w:val="TextBody"/>
        <w:spacing w:lineRule="auto" w:line="240"/>
        <w:jc w:val="both"/>
        <w:rPr/>
      </w:pPr>
      <w:r>
        <w:rPr/>
        <w:t xml:space="preserve">Alle die drei Sektionen erfüllen eine bestimmt Aufgabe C3 oder auch noch genannt Cyber Competenz Center kümmert sich um das Aufklären von Kindern, Jugendlichen und Erwachsenen sowie Senioren wobei Erwachsene und Senioren eine andere Aufklärung bekommen. </w:t>
      </w:r>
    </w:p>
    <w:p>
      <w:pPr>
        <w:pStyle w:val="TextBody"/>
        <w:spacing w:lineRule="auto" w:line="240"/>
        <w:jc w:val="both"/>
        <w:rPr/>
      </w:pPr>
      <w:r>
        <w:rPr/>
        <w:t>Die Kinder in aufgeteilt in Gruppen sogenannte Target age 1–5</w:t>
      </w:r>
    </w:p>
    <w:p>
      <w:pPr>
        <w:pStyle w:val="TextBody"/>
        <w:spacing w:lineRule="auto" w:line="240"/>
        <w:jc w:val="both"/>
        <w:rPr/>
      </w:pPr>
      <w:r>
        <w:rPr/>
        <w:t>Target age 1 hat alle Alters Gruppen.</w:t>
      </w:r>
    </w:p>
    <w:p>
      <w:pPr>
        <w:pStyle w:val="TextBody"/>
        <w:spacing w:lineRule="auto" w:line="240"/>
        <w:jc w:val="both"/>
        <w:rPr/>
      </w:pPr>
      <w:r>
        <w:rPr/>
        <w:t>Target age 2 hat die Alters Gruppe von 4 bis 6, Target age 3 von 7 bis 13.</w:t>
      </w:r>
    </w:p>
    <w:p>
      <w:pPr>
        <w:pStyle w:val="TextBody"/>
        <w:spacing w:lineRule="auto" w:line="240"/>
        <w:jc w:val="both"/>
        <w:rPr/>
      </w:pPr>
      <w:r>
        <w:rPr/>
        <w:t>Die letzten 2 sin Target age 4 die Jugendliche von 14+ beinhaltet und Target age 5 ist nur für Erwachsene.</w:t>
      </w:r>
    </w:p>
    <w:p>
      <w:pPr>
        <w:pStyle w:val="TextBody"/>
        <w:spacing w:lineRule="auto" w:line="240"/>
        <w:jc w:val="both"/>
        <w:rPr/>
      </w:pPr>
      <w:r>
        <w:rPr/>
        <w:t>Zudem veranstaltet Hack4Kids verschiedene Workshops wie:</w:t>
      </w:r>
    </w:p>
    <w:p>
      <w:pPr>
        <w:pStyle w:val="TextBody"/>
        <w:numPr>
          <w:ilvl w:val="0"/>
          <w:numId w:val="1"/>
        </w:numPr>
        <w:spacing w:lineRule="auto" w:line="240"/>
        <w:jc w:val="both"/>
        <w:rPr/>
      </w:pPr>
      <w:r>
        <w:rPr/>
        <w:t>Workshop on Behaviour (Verhaltens Workshop)</w:t>
      </w:r>
    </w:p>
    <w:p>
      <w:pPr>
        <w:pStyle w:val="TextBody"/>
        <w:numPr>
          <w:ilvl w:val="0"/>
          <w:numId w:val="1"/>
        </w:numPr>
        <w:spacing w:lineRule="auto" w:line="240"/>
        <w:jc w:val="both"/>
        <w:rPr/>
      </w:pPr>
      <w:r>
        <w:rPr/>
        <w:t>Workshop on Security (Sicherheits Workshop)</w:t>
      </w:r>
    </w:p>
    <w:p>
      <w:pPr>
        <w:pStyle w:val="TextBody"/>
        <w:numPr>
          <w:ilvl w:val="0"/>
          <w:numId w:val="1"/>
        </w:numPr>
        <w:spacing w:lineRule="auto" w:line="240"/>
        <w:jc w:val="both"/>
        <w:rPr/>
      </w:pPr>
      <w:r>
        <w:rPr/>
        <w:t>Workshop on Technology (Technologie Workshop).</w:t>
      </w:r>
    </w:p>
    <w:p>
      <w:pPr>
        <w:pStyle w:val="TextBody"/>
        <w:spacing w:lineRule="auto" w:line="240"/>
        <w:jc w:val="both"/>
        <w:rPr/>
      </w:pPr>
      <w:r>
        <w:rPr/>
        <w:t>In den verschiedenen Workshops werden die Kinder oder Erwachsenen, auf das jeweilige Thema aufmerksam gemacht und bekommen Tipps und Erfahrung in Form von kleinen spielen, die C3 selbst entwickelt hat, die unter der Creativ Common License stehen und die jeder frei nutzen kann.</w:t>
      </w:r>
      <w:r>
        <w:rPr/>
        <w:t xml:space="preserve"> Die Webseite ist '''</w:t>
      </w:r>
      <w:hyperlink r:id="rId2">
        <w:r>
          <w:rPr>
            <w:rStyle w:val="InternetLink"/>
          </w:rPr>
          <w:t>https://www.hack4kids.lu/</w:t>
        </w:r>
      </w:hyperlink>
      <w:r>
        <w:rPr/>
        <w:t xml:space="preserve">''' Zudem kümmert C3 sich um die sogenannten Trainings von Firmen im bereich der Sicherheit, wo zudem auch Circl eine Grosse Rollen spielt denn sie leiten die Trainings mit den Firmen. Die Erwachsenen und Senioren bekommen Aufklärung im Projekt Crypto Apero was alles neu ist im Internet so wie Fake News (bekommen die kinder auch), Big Data, Cryptocurrency, Memes, Evolution of Internet usw. </w:t>
      </w:r>
    </w:p>
    <w:p>
      <w:pPr>
        <w:pStyle w:val="TextBody"/>
        <w:spacing w:lineRule="auto" w:line="240" w:before="180" w:after="180"/>
        <w:jc w:val="both"/>
        <w:rPr/>
      </w:pPr>
      <w:r>
        <w:rPr/>
        <w:t>Die Section cases auch noch Cyberworld Awareness and Security Enhancement Service Luxemourg genannt kümmert sich um risiko analysen. Die Webseite ist '''</w:t>
      </w:r>
      <w:hyperlink r:id="rId3">
        <w:r>
          <w:rPr>
            <w:rStyle w:val="InternetLink"/>
          </w:rPr>
          <w:t>https://www.cases.lu/</w:t>
        </w:r>
      </w:hyperlink>
      <w:r>
        <w:rPr/>
        <w:t>''' Dann kommt noch die Letzte Section Circl auch noch Computer Incident Response Center Luxembourg gennant sie kümmern sich um die kleine bis Grosse privat Firmen, wenn sie ein problem mit Crackern oder Malware haben zudem leiten sie die Trainings und C3 organisiert sie. Zudem geben sie auf Ihrer Webseite gute Tipps auf die Aspekte der Sicherheit '''</w:t>
      </w:r>
      <w:hyperlink r:id="rId4">
        <w:r>
          <w:rPr>
            <w:rStyle w:val="InternetLink"/>
          </w:rPr>
          <w:t>https://circl.lu/</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ack4kids.lu/" TargetMode="External"/><Relationship Id="rId3" Type="http://schemas.openxmlformats.org/officeDocument/2006/relationships/hyperlink" Target="https://www.cases.lu/" TargetMode="External"/><Relationship Id="rId4" Type="http://schemas.openxmlformats.org/officeDocument/2006/relationships/hyperlink" Target="https://circl.l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LibreOffice/5.1.6.2$Linux_X86_64 LibreOffice_project/10m0$Build-2</Application>
  <Pages>2</Pages>
  <Words>344</Words>
  <Characters>1903</Characters>
  <CharactersWithSpaces>2231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2018-03-30T11:18:15Z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