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99" w:type="dxa"/>
        <w:tblLook w:val="04A0" w:firstRow="1" w:lastRow="0" w:firstColumn="1" w:lastColumn="0" w:noHBand="0" w:noVBand="1"/>
      </w:tblPr>
      <w:tblGrid>
        <w:gridCol w:w="2508"/>
        <w:gridCol w:w="4491"/>
      </w:tblGrid>
      <w:tr w:rsidR="00A332B7" w:rsidTr="00964188">
        <w:trPr>
          <w:trHeight w:val="166"/>
        </w:trPr>
        <w:tc>
          <w:tcPr>
            <w:tcW w:w="2508" w:type="dxa"/>
            <w:hideMark/>
          </w:tcPr>
          <w:p w:rsidR="00A332B7" w:rsidRDefault="00A332B7" w:rsidP="00CB55DD">
            <w:pPr>
              <w:tabs>
                <w:tab w:val="left" w:pos="2520"/>
                <w:tab w:val="right" w:pos="3507"/>
              </w:tabs>
              <w:ind w:left="209" w:right="-108"/>
              <w:rPr>
                <w:rFonts w:ascii="Cambria" w:eastAsia="MS Mincho" w:hAnsi="Cambria"/>
              </w:rPr>
            </w:pPr>
            <w:bookmarkStart w:id="0" w:name="_GoBack" w:colFirst="0" w:colLast="1"/>
            <w:r>
              <w:rPr>
                <w:rFonts w:ascii="Cambria" w:eastAsia="MS Mincho" w:hAnsi="Cambria"/>
                <w:noProof/>
                <w:lang w:eastAsia="fr-FR"/>
              </w:rPr>
              <w:drawing>
                <wp:inline distT="0" distB="0" distL="0" distR="0" wp14:anchorId="38DB7E09" wp14:editId="577EDFEE">
                  <wp:extent cx="1322705" cy="1362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2705" cy="1362075"/>
                          </a:xfrm>
                          <a:prstGeom prst="rect">
                            <a:avLst/>
                          </a:prstGeom>
                          <a:noFill/>
                          <a:ln>
                            <a:noFill/>
                          </a:ln>
                        </pic:spPr>
                      </pic:pic>
                    </a:graphicData>
                  </a:graphic>
                </wp:inline>
              </w:drawing>
            </w:r>
          </w:p>
        </w:tc>
        <w:tc>
          <w:tcPr>
            <w:tcW w:w="4491" w:type="dxa"/>
          </w:tcPr>
          <w:p w:rsidR="00A332B7" w:rsidRDefault="00A332B7" w:rsidP="00CB55DD">
            <w:pPr>
              <w:tabs>
                <w:tab w:val="center" w:pos="4703"/>
                <w:tab w:val="right" w:pos="9406"/>
              </w:tabs>
              <w:ind w:right="-624"/>
              <w:outlineLvl w:val="0"/>
              <w:rPr>
                <w:rFonts w:ascii="Arial Narrow" w:eastAsia="MS Mincho" w:hAnsi="Arial Narrow"/>
                <w:sz w:val="28"/>
                <w:szCs w:val="28"/>
                <w:lang w:val="en-US"/>
              </w:rPr>
            </w:pPr>
          </w:p>
          <w:p w:rsidR="00A332B7" w:rsidRDefault="00A332B7" w:rsidP="00CB55DD">
            <w:pPr>
              <w:tabs>
                <w:tab w:val="center" w:pos="4703"/>
                <w:tab w:val="right" w:pos="9406"/>
              </w:tabs>
              <w:ind w:right="-624"/>
              <w:outlineLvl w:val="0"/>
              <w:rPr>
                <w:rFonts w:ascii="Arial Narrow" w:eastAsia="MS Mincho" w:hAnsi="Arial Narrow"/>
                <w:sz w:val="28"/>
                <w:szCs w:val="28"/>
                <w:lang w:val="en-US"/>
              </w:rPr>
            </w:pPr>
            <w:r>
              <w:rPr>
                <w:rFonts w:ascii="Arial Narrow" w:eastAsia="MS Mincho" w:hAnsi="Arial Narrow"/>
                <w:sz w:val="28"/>
                <w:szCs w:val="28"/>
                <w:lang w:val="en-US"/>
              </w:rPr>
              <w:t xml:space="preserve">Bilingual </w:t>
            </w:r>
            <w:proofErr w:type="spellStart"/>
            <w:r>
              <w:rPr>
                <w:rFonts w:ascii="Arial Narrow" w:eastAsia="MS Mincho" w:hAnsi="Arial Narrow"/>
                <w:sz w:val="28"/>
                <w:szCs w:val="28"/>
                <w:lang w:val="en-US"/>
              </w:rPr>
              <w:t>Lycee</w:t>
            </w:r>
            <w:proofErr w:type="spellEnd"/>
            <w:r>
              <w:rPr>
                <w:rFonts w:ascii="Arial Narrow" w:eastAsia="MS Mincho" w:hAnsi="Arial Narrow"/>
                <w:sz w:val="28"/>
                <w:szCs w:val="28"/>
                <w:lang w:val="en-US"/>
              </w:rPr>
              <w:t xml:space="preserve"> of Excellence in Sciences</w:t>
            </w:r>
          </w:p>
          <w:p w:rsidR="00A332B7" w:rsidRDefault="00A332B7" w:rsidP="00CB55DD">
            <w:pPr>
              <w:tabs>
                <w:tab w:val="center" w:pos="4703"/>
                <w:tab w:val="right" w:pos="9406"/>
              </w:tabs>
              <w:ind w:right="-624"/>
              <w:outlineLvl w:val="0"/>
              <w:rPr>
                <w:rFonts w:ascii="Arial Narrow" w:eastAsia="MS Mincho" w:hAnsi="Arial Narrow"/>
                <w:sz w:val="24"/>
                <w:szCs w:val="24"/>
              </w:rPr>
            </w:pPr>
            <w:r>
              <w:rPr>
                <w:rFonts w:ascii="Arial Narrow" w:eastAsia="MS Mincho" w:hAnsi="Arial Narrow"/>
              </w:rPr>
              <w:t>Lycée Bilingue d’Excellence pour les Sciences</w:t>
            </w:r>
          </w:p>
          <w:p w:rsidR="00A332B7" w:rsidRPr="004A336C" w:rsidRDefault="00A332B7" w:rsidP="00CB55DD">
            <w:pPr>
              <w:rPr>
                <w:rFonts w:ascii="Arial Narrow" w:hAnsi="Arial Narrow"/>
              </w:rPr>
            </w:pPr>
            <w:r>
              <w:rPr>
                <w:rFonts w:ascii="Arial Narrow" w:hAnsi="Arial Narrow"/>
                <w:b/>
                <w:i/>
              </w:rPr>
              <w:t>Reconnu par arrêté MEN n°004716 du 06 mars 2019</w:t>
            </w:r>
          </w:p>
        </w:tc>
      </w:tr>
    </w:tbl>
    <w:bookmarkEnd w:id="0"/>
    <w:p w:rsidR="00A332B7" w:rsidRDefault="00A332B7" w:rsidP="00A332B7">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Classe de Seconde S                                                                         Professeur : M. </w:t>
      </w:r>
      <w:proofErr w:type="spellStart"/>
      <w:r>
        <w:rPr>
          <w:rFonts w:ascii="Times New Roman" w:hAnsi="Times New Roman" w:cs="Times New Roman"/>
          <w:b/>
          <w:bCs/>
          <w:color w:val="000000"/>
          <w:sz w:val="24"/>
          <w:szCs w:val="24"/>
        </w:rPr>
        <w:t>Thiobane</w:t>
      </w:r>
      <w:proofErr w:type="spellEnd"/>
    </w:p>
    <w:p w:rsidR="001801A4" w:rsidRDefault="00AE3EE4">
      <w:r>
        <w:t xml:space="preserve">                                                                                                                 </w:t>
      </w:r>
    </w:p>
    <w:p w:rsidR="00AE3EE4" w:rsidRPr="00A332B7" w:rsidRDefault="00AE3EE4" w:rsidP="00AE3EE4">
      <w:pPr>
        <w:jc w:val="center"/>
        <w:rPr>
          <w:b/>
          <w:sz w:val="28"/>
          <w:szCs w:val="28"/>
        </w:rPr>
      </w:pPr>
      <w:r>
        <w:t xml:space="preserve"> </w:t>
      </w:r>
      <w:r w:rsidRPr="00A332B7">
        <w:rPr>
          <w:b/>
          <w:sz w:val="28"/>
          <w:szCs w:val="28"/>
        </w:rPr>
        <w:t>COURS DE LITTERATURE </w:t>
      </w:r>
    </w:p>
    <w:p w:rsidR="00AE3EE4" w:rsidRPr="00A332B7" w:rsidRDefault="00AE3EE4" w:rsidP="00AE3EE4">
      <w:pPr>
        <w:rPr>
          <w:b/>
          <w:sz w:val="28"/>
          <w:szCs w:val="28"/>
        </w:rPr>
      </w:pPr>
      <w:r w:rsidRPr="00A332B7">
        <w:rPr>
          <w:b/>
          <w:sz w:val="28"/>
          <w:szCs w:val="28"/>
        </w:rPr>
        <w:t>SEQUENCE I : L’humanisme et la poésie de la pléiade.</w:t>
      </w:r>
    </w:p>
    <w:p w:rsidR="00AE3EE4" w:rsidRDefault="00AE3EE4" w:rsidP="00AE3EE4">
      <w:pPr>
        <w:rPr>
          <w:b/>
          <w:sz w:val="28"/>
          <w:szCs w:val="28"/>
        </w:rPr>
      </w:pPr>
      <w:r>
        <w:rPr>
          <w:b/>
          <w:sz w:val="28"/>
          <w:szCs w:val="28"/>
        </w:rPr>
        <w:t xml:space="preserve">Durée : </w:t>
      </w:r>
      <w:r w:rsidR="00017761">
        <w:rPr>
          <w:b/>
          <w:sz w:val="28"/>
          <w:szCs w:val="28"/>
        </w:rPr>
        <w:t>24</w:t>
      </w:r>
      <w:r>
        <w:rPr>
          <w:b/>
          <w:sz w:val="28"/>
          <w:szCs w:val="28"/>
        </w:rPr>
        <w:t xml:space="preserve"> heures soit </w:t>
      </w:r>
      <w:r w:rsidR="00017761">
        <w:rPr>
          <w:b/>
          <w:sz w:val="28"/>
          <w:szCs w:val="28"/>
        </w:rPr>
        <w:t xml:space="preserve">6 semaines (du 18 octobre </w:t>
      </w:r>
      <w:r w:rsidR="00354B90">
        <w:rPr>
          <w:b/>
          <w:sz w:val="28"/>
          <w:szCs w:val="28"/>
        </w:rPr>
        <w:t xml:space="preserve">2021 </w:t>
      </w:r>
      <w:r w:rsidR="00017761">
        <w:rPr>
          <w:b/>
          <w:sz w:val="28"/>
          <w:szCs w:val="28"/>
        </w:rPr>
        <w:t>au 29</w:t>
      </w:r>
      <w:r w:rsidR="003159E2">
        <w:rPr>
          <w:b/>
          <w:sz w:val="28"/>
          <w:szCs w:val="28"/>
        </w:rPr>
        <w:t xml:space="preserve"> novembre</w:t>
      </w:r>
      <w:r w:rsidR="00354B90">
        <w:rPr>
          <w:b/>
          <w:sz w:val="28"/>
          <w:szCs w:val="28"/>
        </w:rPr>
        <w:t xml:space="preserve"> 2021</w:t>
      </w:r>
      <w:r w:rsidR="003159E2">
        <w:rPr>
          <w:b/>
          <w:sz w:val="28"/>
          <w:szCs w:val="28"/>
        </w:rPr>
        <w:t>)</w:t>
      </w:r>
      <w:r>
        <w:rPr>
          <w:b/>
          <w:sz w:val="28"/>
          <w:szCs w:val="28"/>
        </w:rPr>
        <w:t>.</w:t>
      </w:r>
    </w:p>
    <w:p w:rsidR="00AE3EE4" w:rsidRDefault="00AE3EE4" w:rsidP="00AE3EE4">
      <w:pPr>
        <w:rPr>
          <w:b/>
        </w:rPr>
      </w:pPr>
      <w:r>
        <w:rPr>
          <w:b/>
        </w:rPr>
        <w:t>CORPUS DE TEXTES</w:t>
      </w:r>
      <w:r w:rsidR="003159E2">
        <w:rPr>
          <w:b/>
        </w:rPr>
        <w:t>-SUPPORTS</w:t>
      </w:r>
      <w:r>
        <w:rPr>
          <w:b/>
        </w:rPr>
        <w:t> :</w:t>
      </w:r>
    </w:p>
    <w:p w:rsidR="00AE3EE4" w:rsidRDefault="00AE3EE4" w:rsidP="00AE3EE4">
      <w:pPr>
        <w:rPr>
          <w:rFonts w:ascii="Verdana" w:hAnsi="Verdana"/>
          <w:color w:val="442346"/>
          <w:sz w:val="20"/>
          <w:szCs w:val="20"/>
          <w:shd w:val="clear" w:color="auto" w:fill="ECE6ED"/>
        </w:rPr>
      </w:pPr>
      <w:r>
        <w:rPr>
          <w:rFonts w:ascii="Verdana" w:hAnsi="Verdana"/>
          <w:color w:val="442346"/>
          <w:sz w:val="20"/>
          <w:szCs w:val="20"/>
        </w:rPr>
        <w:t>TEXTE I :</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 xml:space="preserve">En fin de compte, le parfait ouvrier décida qu'à celui qui ne pouvait rien recevoir en propre serait commun tout ce qui avait été donné de particulier à chaque être isolément. Il prit donc l'homme, cette œuvre indistinctement imagée, et l'ayant placé au milieu du monde, il lui adressa la parole en ces termes : « Si nous ne t'avons donné, Adam, ni une place déterminée, ni un aspect qui te soit </w:t>
      </w:r>
      <w:proofErr w:type="gramStart"/>
      <w:r>
        <w:rPr>
          <w:rFonts w:ascii="Verdana" w:hAnsi="Verdana"/>
          <w:color w:val="3D3D3D"/>
          <w:sz w:val="18"/>
          <w:szCs w:val="18"/>
          <w:shd w:val="clear" w:color="auto" w:fill="FFFFFF"/>
        </w:rPr>
        <w:t>propre</w:t>
      </w:r>
      <w:proofErr w:type="gramEnd"/>
      <w:r>
        <w:rPr>
          <w:rFonts w:ascii="Verdana" w:hAnsi="Verdana"/>
          <w:color w:val="3D3D3D"/>
          <w:sz w:val="18"/>
          <w:szCs w:val="18"/>
          <w:shd w:val="clear" w:color="auto" w:fill="FFFFFF"/>
        </w:rPr>
        <w:t xml:space="preserve">, ni aucun don particulier, c'est afin que la place, l'aspect, les dons que toi-même aurais souhaités, tu les </w:t>
      </w:r>
      <w:proofErr w:type="spellStart"/>
      <w:r>
        <w:rPr>
          <w:rFonts w:ascii="Verdana" w:hAnsi="Verdana"/>
          <w:color w:val="3D3D3D"/>
          <w:sz w:val="18"/>
          <w:szCs w:val="18"/>
          <w:shd w:val="clear" w:color="auto" w:fill="FFFFFF"/>
        </w:rPr>
        <w:t>aies</w:t>
      </w:r>
      <w:proofErr w:type="spellEnd"/>
      <w:r>
        <w:rPr>
          <w:rFonts w:ascii="Verdana" w:hAnsi="Verdana"/>
          <w:color w:val="3D3D3D"/>
          <w:sz w:val="18"/>
          <w:szCs w:val="18"/>
          <w:shd w:val="clear" w:color="auto" w:fill="FFFFFF"/>
        </w:rPr>
        <w:t xml:space="preserve"> et les possèdes selon ton vœu, à ton idée. Pour les autres, leur nature définie est tenue en bride par des lois que nous avons prescrites ; toi aucune restriction ne te bride, c'est ton propre jugement, auquel nous t'avons confié, qui te permettra de définir ta nature. Si nous t'avons mis dans le monde en position intermédiaire, c'est pour que de là tu examines plus à ton aise tout ce qui se trouve dans le monde alentour. Si nous ne t'avons fait ni céleste ni terrestre, ni mortel ni immortel, c'est afin que, doté pour ainsi dire du pouvoir arbitral et honorifique de te modeler et de te façonner toi-même, tu te donnes la forme qui aurait eu ta préférence. Tu pourras dégénérer en formes inférieure, qui sont bestiales ; tu pourras régénérer en formes supérieures, qui sont divines ».</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 xml:space="preserve">        Pic de la Mirandole, </w:t>
      </w:r>
      <w:r>
        <w:rPr>
          <w:rFonts w:ascii="Verdana" w:hAnsi="Verdana"/>
          <w:i/>
          <w:color w:val="3D3D3D"/>
          <w:sz w:val="18"/>
          <w:szCs w:val="18"/>
          <w:shd w:val="clear" w:color="auto" w:fill="FFFFFF"/>
        </w:rPr>
        <w:t>Discours sur la dignité de l’homme</w:t>
      </w:r>
      <w:r>
        <w:rPr>
          <w:rFonts w:ascii="Verdana" w:hAnsi="Verdana"/>
          <w:color w:val="3D3D3D"/>
          <w:sz w:val="18"/>
          <w:szCs w:val="18"/>
          <w:shd w:val="clear" w:color="auto" w:fill="FFFFFF"/>
        </w:rPr>
        <w:t>, 1486 ou 1487.</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II : « Etudier autrement », Rabelais / Manuel, pages 20 à 23</w:t>
      </w:r>
    </w:p>
    <w:p w:rsidR="00AE3EE4" w:rsidRDefault="00AE3EE4" w:rsidP="00AE3EE4">
      <w:pPr>
        <w:rPr>
          <w:rFonts w:ascii="Verdana" w:hAnsi="Verdana"/>
          <w:color w:val="3D3D3D"/>
          <w:sz w:val="18"/>
          <w:szCs w:val="18"/>
          <w:shd w:val="clear" w:color="auto" w:fill="FFFFFF"/>
        </w:rPr>
      </w:pP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III : « Former le jugement », Montaigne (Essais), Manuel, PP 36-37</w:t>
      </w:r>
    </w:p>
    <w:p w:rsidR="00AE3EE4" w:rsidRDefault="00AE3EE4" w:rsidP="00AE3EE4">
      <w:pPr>
        <w:rPr>
          <w:rFonts w:ascii="Verdana" w:hAnsi="Verdana"/>
          <w:color w:val="3D3D3D"/>
          <w:sz w:val="18"/>
          <w:szCs w:val="18"/>
          <w:shd w:val="clear" w:color="auto" w:fill="FFFFFF"/>
        </w:rPr>
      </w:pPr>
      <w:r>
        <w:rPr>
          <w:rFonts w:ascii="Verdana" w:hAnsi="Verdana"/>
          <w:color w:val="3D3D3D"/>
          <w:sz w:val="18"/>
          <w:szCs w:val="18"/>
          <w:shd w:val="clear" w:color="auto" w:fill="FFFFFF"/>
        </w:rPr>
        <w:t>TEXTE IV : « Je me ferai savant en la philosophie… » Du Bellay, Manuel, page 27</w:t>
      </w:r>
    </w:p>
    <w:tbl>
      <w:tblPr>
        <w:tblW w:w="0" w:type="auto"/>
        <w:tblCellSpacing w:w="0" w:type="dxa"/>
        <w:tblCellMar>
          <w:left w:w="0" w:type="dxa"/>
          <w:right w:w="0" w:type="dxa"/>
        </w:tblCellMar>
        <w:tblLook w:val="04A0" w:firstRow="1" w:lastRow="0" w:firstColumn="1" w:lastColumn="0" w:noHBand="0" w:noVBand="1"/>
      </w:tblPr>
      <w:tblGrid>
        <w:gridCol w:w="116"/>
        <w:gridCol w:w="4408"/>
      </w:tblGrid>
      <w:tr w:rsidR="00AE3EE4" w:rsidTr="00AE3EE4">
        <w:trPr>
          <w:tblCellSpacing w:w="0" w:type="dxa"/>
        </w:trPr>
        <w:tc>
          <w:tcPr>
            <w:tcW w:w="0" w:type="auto"/>
            <w:vAlign w:val="center"/>
            <w:hideMark/>
          </w:tcPr>
          <w:p w:rsidR="00AE3EE4" w:rsidRDefault="00AE3EE4">
            <w:pPr>
              <w:spacing w:after="0" w:line="240" w:lineRule="auto"/>
              <w:rPr>
                <w:rFonts w:ascii="Georgia" w:eastAsia="Times New Roman" w:hAnsi="Georgia" w:cs="Times New Roman"/>
                <w:sz w:val="24"/>
                <w:szCs w:val="24"/>
                <w:lang w:eastAsia="fr-FR"/>
              </w:rPr>
            </w:pPr>
            <w:r>
              <w:rPr>
                <w:rFonts w:ascii="Georgia" w:eastAsia="Times New Roman" w:hAnsi="Georgia" w:cs="Times New Roman"/>
                <w:sz w:val="24"/>
                <w:szCs w:val="24"/>
                <w:lang w:eastAsia="fr-FR"/>
              </w:rPr>
              <w:t>  </w:t>
            </w:r>
          </w:p>
        </w:tc>
        <w:tc>
          <w:tcPr>
            <w:tcW w:w="4408" w:type="dxa"/>
            <w:vAlign w:val="center"/>
            <w:hideMark/>
          </w:tcPr>
          <w:p w:rsidR="00AE3EE4" w:rsidRDefault="00AE3EE4">
            <w:pPr>
              <w:rPr>
                <w:rFonts w:ascii="Georgia" w:eastAsia="Times New Roman" w:hAnsi="Georgia" w:cs="Times New Roman"/>
                <w:sz w:val="24"/>
                <w:szCs w:val="24"/>
                <w:lang w:eastAsia="fr-FR"/>
              </w:rPr>
            </w:pPr>
            <w:bookmarkStart w:id="1" w:name="p999a"/>
            <w:bookmarkStart w:id="2" w:name="p1"/>
            <w:bookmarkStart w:id="3" w:name="p0"/>
            <w:bookmarkEnd w:id="1"/>
            <w:bookmarkEnd w:id="2"/>
            <w:bookmarkEnd w:id="3"/>
          </w:p>
        </w:tc>
      </w:tr>
    </w:tbl>
    <w:p w:rsidR="00AE3EE4" w:rsidRDefault="00AE3EE4" w:rsidP="00AE3EE4">
      <w:r>
        <w:t>TEXTE V : « Heureux qui comme Ulysse… », Du Bellay, Manuel, Page 26.</w:t>
      </w:r>
    </w:p>
    <w:p w:rsidR="00AE3EE4" w:rsidRDefault="00AE3EE4" w:rsidP="00AE3EE4">
      <w:r>
        <w:t>TEXTE VI : « Mignonne, allons voir… », Ronsard, Manuel, Page 30</w:t>
      </w:r>
    </w:p>
    <w:p w:rsidR="00AE3EE4" w:rsidRDefault="00AE3EE4" w:rsidP="00AE3EE4"/>
    <w:p w:rsidR="00AE3EE4" w:rsidRDefault="00AE3EE4" w:rsidP="00AE3EE4"/>
    <w:p w:rsidR="00AE3EE4" w:rsidRDefault="00AE3EE4" w:rsidP="00AE3EE4">
      <w:pPr>
        <w:rPr>
          <w:b/>
        </w:rPr>
      </w:pPr>
      <w:r>
        <w:rPr>
          <w:b/>
        </w:rPr>
        <w:t>DEROULEMENT DE LA SEQUENCE :</w:t>
      </w:r>
    </w:p>
    <w:tbl>
      <w:tblPr>
        <w:tblStyle w:val="Grilledutableau"/>
        <w:tblW w:w="0" w:type="auto"/>
        <w:tblInd w:w="0" w:type="dxa"/>
        <w:tblLook w:val="04A0" w:firstRow="1" w:lastRow="0" w:firstColumn="1" w:lastColumn="0" w:noHBand="0" w:noVBand="1"/>
      </w:tblPr>
      <w:tblGrid>
        <w:gridCol w:w="1445"/>
        <w:gridCol w:w="1742"/>
        <w:gridCol w:w="1892"/>
        <w:gridCol w:w="1996"/>
        <w:gridCol w:w="1987"/>
      </w:tblGrid>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lastRenderedPageBreak/>
              <w:t>Activités</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Supports</w:t>
            </w: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Objectifs spécifiques</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Objets de l’évaluation</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pPr>
              <w:rPr>
                <w:b/>
              </w:rPr>
            </w:pPr>
            <w:r>
              <w:rPr>
                <w:b/>
              </w:rPr>
              <w:t>Modalités d’évaluation</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Lecture (2</w:t>
            </w:r>
            <w:r w:rsidR="00AE3EE4">
              <w:t>H)</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r>
              <w:rPr>
                <w:rFonts w:ascii="Verdana" w:hAnsi="Verdana"/>
                <w:color w:val="3D3D3D"/>
                <w:sz w:val="18"/>
                <w:szCs w:val="18"/>
                <w:shd w:val="clear" w:color="auto" w:fill="FFFFFF"/>
              </w:rPr>
              <w:t>Discours sur la dignité de l’homme (Pic de la Mirandole)</w:t>
            </w: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Saisir les fondements de l’humanisme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Différences entre l’homme et les autres créatures</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Production écrite (2</w:t>
            </w:r>
            <w:r w:rsidR="00AE3EE4">
              <w:t>H)</w:t>
            </w:r>
          </w:p>
        </w:tc>
        <w:tc>
          <w:tcPr>
            <w:tcW w:w="2977" w:type="dxa"/>
            <w:tcBorders>
              <w:top w:val="single" w:sz="4" w:space="0" w:color="auto"/>
              <w:left w:val="single" w:sz="4" w:space="0" w:color="auto"/>
              <w:bottom w:val="single" w:sz="4" w:space="0" w:color="auto"/>
              <w:right w:val="single" w:sz="4" w:space="0" w:color="auto"/>
            </w:tcBorders>
            <w:hideMark/>
          </w:tcPr>
          <w:p w:rsidR="00AE3EE4" w:rsidRDefault="00AE3EE4">
            <w:r>
              <w:rPr>
                <w:rFonts w:ascii="Verdana" w:hAnsi="Verdana"/>
                <w:color w:val="3D3D3D"/>
                <w:sz w:val="18"/>
                <w:szCs w:val="18"/>
                <w:shd w:val="clear" w:color="auto" w:fill="FFFFFF"/>
              </w:rPr>
              <w:t>Discours sur la dignité de l’homme (Pic de la Mirandole)</w:t>
            </w:r>
          </w:p>
        </w:tc>
        <w:tc>
          <w:tcPr>
            <w:tcW w:w="2693"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sz w:val="18"/>
                <w:szCs w:val="18"/>
                <w:shd w:val="clear" w:color="auto" w:fill="FFFFFF"/>
              </w:rPr>
            </w:pPr>
            <w:r>
              <w:rPr>
                <w:rFonts w:ascii="Verdana" w:hAnsi="Verdana"/>
                <w:sz w:val="18"/>
                <w:szCs w:val="18"/>
                <w:shd w:val="clear" w:color="auto" w:fill="FFFFFF"/>
              </w:rPr>
              <w:t>-Identifier et utiliser le connecteur adéquat</w:t>
            </w:r>
          </w:p>
          <w:p w:rsidR="00AE3EE4" w:rsidRDefault="00AE3EE4">
            <w:pPr>
              <w:rPr>
                <w:rFonts w:ascii="Verdana" w:hAnsi="Verdana"/>
                <w:sz w:val="18"/>
                <w:szCs w:val="18"/>
                <w:shd w:val="clear" w:color="auto" w:fill="FFFFFF"/>
              </w:rPr>
            </w:pPr>
            <w:r>
              <w:rPr>
                <w:rFonts w:ascii="Verdana" w:hAnsi="Verdana"/>
                <w:sz w:val="18"/>
                <w:szCs w:val="18"/>
                <w:shd w:val="clear" w:color="auto" w:fill="FFFFFF"/>
              </w:rPr>
              <w:t>-Utiliser les reprises nominales et pronominales</w:t>
            </w:r>
            <w:r w:rsidR="002B5A85">
              <w:rPr>
                <w:rFonts w:ascii="Verdana" w:hAnsi="Verdana"/>
                <w:sz w:val="18"/>
                <w:szCs w:val="18"/>
                <w:shd w:val="clear" w:color="auto" w:fill="FFFFFF"/>
              </w:rPr>
              <w:t xml:space="preserve"> (la périphrase)</w:t>
            </w:r>
          </w:p>
          <w:p w:rsidR="00AE3EE4" w:rsidRDefault="00AE3EE4">
            <w:pPr>
              <w:rPr>
                <w:rFonts w:ascii="Verdana" w:hAnsi="Verdana"/>
                <w:sz w:val="18"/>
                <w:szCs w:val="18"/>
                <w:shd w:val="clear" w:color="auto" w:fill="FFFFFF"/>
              </w:rPr>
            </w:pPr>
          </w:p>
          <w:p w:rsidR="00AE3EE4" w:rsidRDefault="00AE3EE4">
            <w:pPr>
              <w:rPr>
                <w:rFonts w:ascii="Verdana" w:hAnsi="Verdana"/>
                <w:sz w:val="18"/>
                <w:szCs w:val="18"/>
                <w:shd w:val="clear" w:color="auto" w:fill="FFFFFF"/>
              </w:rPr>
            </w:pPr>
            <w:r>
              <w:rPr>
                <w:rFonts w:ascii="Verdana" w:hAnsi="Verdana"/>
                <w:sz w:val="18"/>
                <w:szCs w:val="18"/>
                <w:shd w:val="clear" w:color="auto" w:fill="FFFFFF"/>
              </w:rPr>
              <w:t xml:space="preserve">-Insérer des illustrations </w:t>
            </w:r>
          </w:p>
          <w:p w:rsidR="00AE3EE4" w:rsidRDefault="00AE3EE4">
            <w:pPr>
              <w:rPr>
                <w:rFonts w:ascii="Verdana" w:hAnsi="Verdana"/>
                <w:sz w:val="18"/>
                <w:szCs w:val="18"/>
                <w:shd w:val="clear" w:color="auto" w:fill="FFFFFF"/>
              </w:rPr>
            </w:pPr>
          </w:p>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sz w:val="18"/>
                <w:szCs w:val="18"/>
                <w:shd w:val="clear" w:color="auto" w:fill="FFFFFF"/>
              </w:rPr>
            </w:pPr>
            <w:r>
              <w:rPr>
                <w:rFonts w:ascii="Verdana" w:hAnsi="Verdana"/>
                <w:color w:val="FF0000"/>
                <w:sz w:val="18"/>
                <w:szCs w:val="18"/>
                <w:shd w:val="clear" w:color="auto" w:fill="FFFFFF"/>
              </w:rPr>
              <w:t>-</w:t>
            </w:r>
            <w:r>
              <w:rPr>
                <w:rFonts w:ascii="Verdana" w:hAnsi="Verdana"/>
                <w:sz w:val="18"/>
                <w:szCs w:val="18"/>
                <w:shd w:val="clear" w:color="auto" w:fill="FFFFFF"/>
              </w:rPr>
              <w:t>Assurer la cohérence textuelle et éviter les répétions.</w:t>
            </w:r>
          </w:p>
          <w:p w:rsidR="00AE3EE4" w:rsidRDefault="00AE3EE4">
            <w:pPr>
              <w:rPr>
                <w:rFonts w:ascii="Verdana" w:hAnsi="Verdana"/>
                <w:sz w:val="18"/>
                <w:szCs w:val="18"/>
                <w:shd w:val="clear" w:color="auto" w:fill="FFFFFF"/>
              </w:rPr>
            </w:pPr>
          </w:p>
          <w:p w:rsidR="00AE3EE4" w:rsidRDefault="00AE3EE4"/>
          <w:p w:rsidR="00AE3EE4" w:rsidRDefault="00AE3EE4">
            <w:r>
              <w:t>-Illustrer ses arguments</w:t>
            </w:r>
          </w:p>
          <w:p w:rsidR="00AE3EE4" w:rsidRDefault="00AE3EE4">
            <w:pPr>
              <w:rPr>
                <w:rFonts w:ascii="Verdana" w:hAnsi="Verdana"/>
                <w:sz w:val="18"/>
                <w:szCs w:val="18"/>
                <w:shd w:val="clear" w:color="auto" w:fill="FFFFFF"/>
              </w:rPr>
            </w:pPr>
          </w:p>
        </w:tc>
        <w:tc>
          <w:tcPr>
            <w:tcW w:w="3119" w:type="dxa"/>
            <w:tcBorders>
              <w:top w:val="single" w:sz="4" w:space="0" w:color="auto"/>
              <w:left w:val="single" w:sz="4" w:space="0" w:color="auto"/>
              <w:bottom w:val="single" w:sz="4" w:space="0" w:color="auto"/>
              <w:right w:val="single" w:sz="4" w:space="0" w:color="auto"/>
            </w:tcBorders>
          </w:tcPr>
          <w:p w:rsidR="00AE3EE4" w:rsidRDefault="00AE3EE4">
            <w:r>
              <w:t>-Exercices à trous</w:t>
            </w:r>
          </w:p>
          <w:p w:rsidR="00AE3EE4" w:rsidRDefault="00AE3EE4"/>
          <w:p w:rsidR="00AE3EE4" w:rsidRDefault="00AE3EE4">
            <w:r>
              <w:t>-Exercices de substitution</w:t>
            </w:r>
          </w:p>
          <w:p w:rsidR="00AE3EE4" w:rsidRDefault="00AE3EE4"/>
          <w:p w:rsidR="00AE3EE4" w:rsidRDefault="00AE3EE4">
            <w:r>
              <w:t>-Textes lacunaires</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Etudier autrement, Rabelais (Manuel, pages 20 à 23)</w:t>
            </w:r>
          </w:p>
          <w:p w:rsidR="00AE3EE4" w:rsidRDefault="00AE3EE4"/>
        </w:tc>
        <w:tc>
          <w:tcPr>
            <w:tcW w:w="2693" w:type="dxa"/>
            <w:tcBorders>
              <w:top w:val="single" w:sz="4" w:space="0" w:color="auto"/>
              <w:left w:val="single" w:sz="4" w:space="0" w:color="auto"/>
              <w:bottom w:val="single" w:sz="4" w:space="0" w:color="auto"/>
              <w:right w:val="single" w:sz="4" w:space="0" w:color="auto"/>
            </w:tcBorders>
          </w:tcPr>
          <w:p w:rsidR="00AE3EE4" w:rsidRDefault="00AE3EE4">
            <w:r>
              <w:t>-Saisir la place du savoir (et de l’Antiquité) dans l’humanisme.</w:t>
            </w:r>
          </w:p>
          <w:p w:rsidR="00AE3EE4" w:rsidRDefault="00AE3EE4">
            <w:r>
              <w:t>-Reconnaitre la gradation et l’accumulation et apprécier leur effet.</w:t>
            </w:r>
          </w:p>
          <w:p w:rsidR="00AE3EE4" w:rsidRDefault="00AE3EE4"/>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Interdépendance des différents domaines DU SAVOIR.</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Production écrite (2</w:t>
            </w:r>
            <w:r w:rsidR="00AE3EE4">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Etudier autrement, Rabelais (Manuel, pages 20 à 23)</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-Produire un paragraphe argumentatif complet.</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Paragraphe argumentatif complet : 1 thèse + 1 argument + 1 Illustration (tirée du texte-support)</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-Mise en situation de production</w:t>
            </w:r>
          </w:p>
          <w:p w:rsidR="00AE3EE4" w:rsidRDefault="00AE3EE4">
            <w:r>
              <w:t>- Travail en groupes.</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Former le jugement, Montaigne (Essais), Manuel, page 36-37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Place de la pédagogie dans l’humanisme.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Comparer la pédagogie de Montaigne et celles dites modernes.</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-Questions-réponses</w:t>
            </w:r>
          </w:p>
          <w:p w:rsidR="00AE3EE4" w:rsidRDefault="00AE3EE4">
            <w:r>
              <w:t>-débat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Production écrite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Former le jugement, Montaigne (Essais), Manuel, page 36-37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-Insérer des citations pour illustrer son argument.</w:t>
            </w:r>
          </w:p>
          <w:p w:rsidR="00AE3EE4" w:rsidRDefault="00AE3EE4">
            <w:r>
              <w:t>-Identifier les figures d’analogie.</w:t>
            </w:r>
          </w:p>
          <w:p w:rsidR="00AE3EE4" w:rsidRDefault="00AE3EE4">
            <w:r>
              <w:t>-Utiliser le raisonnement analogique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-Utiliser le raisonnement analogique pour défendre son point de vue.</w:t>
            </w:r>
          </w:p>
          <w:p w:rsidR="00AE3EE4" w:rsidRDefault="00AE3EE4">
            <w:r>
              <w:t>-Illustrer son argument par une citation</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-Mise en situation de production</w:t>
            </w:r>
            <w:r w:rsidR="00A82E9F">
              <w:t> ;</w:t>
            </w:r>
          </w:p>
          <w:p w:rsidR="00A82E9F" w:rsidRDefault="00A82E9F">
            <w:r>
              <w:t>-Portrait chinois ;</w:t>
            </w:r>
          </w:p>
          <w:p w:rsidR="00AE3EE4" w:rsidRDefault="00AE3EE4">
            <w:r>
              <w:t>- Travail en groupes.</w:t>
            </w:r>
          </w:p>
          <w:p w:rsidR="00AE3EE4" w:rsidRDefault="00AE3EE4">
            <w:r>
              <w:t>Mise en situation d’</w:t>
            </w:r>
            <w:r w:rsidR="00A82E9F">
              <w:t>apprentissage d’intégration (SAI</w:t>
            </w:r>
            <w:r>
              <w:t>)</w:t>
            </w:r>
          </w:p>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 xml:space="preserve">EVALUATION </w:t>
            </w:r>
          </w:p>
          <w:p w:rsidR="00AE3EE4" w:rsidRDefault="00AE3EE4">
            <w:r>
              <w:t>Durée :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-Raisonnement analogique ;</w:t>
            </w:r>
          </w:p>
          <w:p w:rsidR="00AE3EE4" w:rsidRDefault="00AE3EE4">
            <w:r>
              <w:t xml:space="preserve">-Outils de cohérence textuelle </w:t>
            </w:r>
            <w:r>
              <w:lastRenderedPageBreak/>
              <w:t>(connecteurs, reprises nominales et pronominales)</w:t>
            </w:r>
          </w:p>
          <w:p w:rsidR="00AE3EE4" w:rsidRDefault="00AE3EE4">
            <w:r>
              <w:t>-Insertion de citation/ exemple.</w:t>
            </w:r>
          </w:p>
        </w:tc>
        <w:tc>
          <w:tcPr>
            <w:tcW w:w="3119" w:type="dxa"/>
            <w:tcBorders>
              <w:top w:val="single" w:sz="4" w:space="0" w:color="auto"/>
              <w:left w:val="single" w:sz="4" w:space="0" w:color="auto"/>
              <w:bottom w:val="single" w:sz="4" w:space="0" w:color="auto"/>
              <w:right w:val="single" w:sz="4" w:space="0" w:color="auto"/>
            </w:tcBorders>
          </w:tcPr>
          <w:p w:rsidR="00A82E9F" w:rsidRDefault="00AE3EE4">
            <w:r>
              <w:lastRenderedPageBreak/>
              <w:t xml:space="preserve">-Complétion de </w:t>
            </w:r>
            <w:r w:rsidR="0013083E">
              <w:t>paragraphe</w:t>
            </w:r>
            <w:r w:rsidR="002B5A85">
              <w:t>(s)</w:t>
            </w:r>
            <w:r w:rsidR="0013083E">
              <w:t xml:space="preserve"> laconique</w:t>
            </w:r>
            <w:r w:rsidR="002B5A85">
              <w:t>(s)</w:t>
            </w:r>
            <w:r w:rsidR="00A82E9F">
              <w:t> ;</w:t>
            </w:r>
          </w:p>
          <w:p w:rsidR="00AE3EE4" w:rsidRDefault="00A82E9F">
            <w:r>
              <w:lastRenderedPageBreak/>
              <w:t>-</w:t>
            </w:r>
            <w:r w:rsidR="00AE3EE4">
              <w:t>Production de paragraphe argumentatif complet.</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lastRenderedPageBreak/>
              <w:t>Compte rendu de l’é</w:t>
            </w:r>
            <w:r w:rsidR="00017761">
              <w:t>valuation et remise des notes (2</w:t>
            </w:r>
            <w:r>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Consolidation /remédiation (2</w:t>
            </w:r>
            <w:r w:rsidR="00AE3EE4">
              <w:t>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pPr>
              <w:rPr>
                <w:rFonts w:ascii="Verdana" w:hAnsi="Verdana"/>
                <w:color w:val="3D3D3D"/>
                <w:sz w:val="18"/>
                <w:szCs w:val="18"/>
                <w:shd w:val="clear" w:color="auto" w:fill="FFFFFF"/>
              </w:rPr>
            </w:pPr>
            <w:r>
              <w:rPr>
                <w:rFonts w:ascii="Verdana" w:hAnsi="Verdana"/>
                <w:color w:val="3D3D3D"/>
                <w:sz w:val="18"/>
                <w:szCs w:val="18"/>
                <w:shd w:val="clear" w:color="auto" w:fill="FFFFFF"/>
              </w:rPr>
              <w:t>« Je me ferai savant en la philosophie… Du Bellay, Manuel, page 27</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tcPr>
          <w:p w:rsidR="00AE3EE4" w:rsidRDefault="00AE3EE4">
            <w:r>
              <w:t>- Découvrir le rapport entre humanisme et poésie de la pléiade ;</w:t>
            </w:r>
          </w:p>
          <w:p w:rsidR="00AE3EE4" w:rsidRDefault="00AE3EE4">
            <w:r>
              <w:t xml:space="preserve">-Découvrir la poésie en général, le sonnet en particulier (focus sur mètres et </w:t>
            </w:r>
            <w:r w:rsidR="0013083E">
              <w:t>rimes) le</w:t>
            </w:r>
            <w:r>
              <w:t xml:space="preserve"> contre-rejet)</w:t>
            </w:r>
          </w:p>
          <w:p w:rsidR="00AE3EE4" w:rsidRDefault="00AE3EE4"/>
        </w:tc>
        <w:tc>
          <w:tcPr>
            <w:tcW w:w="2835" w:type="dxa"/>
            <w:tcBorders>
              <w:top w:val="single" w:sz="4" w:space="0" w:color="auto"/>
              <w:left w:val="single" w:sz="4" w:space="0" w:color="auto"/>
              <w:bottom w:val="single" w:sz="4" w:space="0" w:color="auto"/>
              <w:right w:val="single" w:sz="4" w:space="0" w:color="auto"/>
            </w:tcBorders>
          </w:tcPr>
          <w:p w:rsidR="00AE3EE4" w:rsidRDefault="00AE3EE4">
            <w:r>
              <w:t>-Humanisme et esprit encyclopédique ;</w:t>
            </w:r>
          </w:p>
          <w:p w:rsidR="00AE3EE4" w:rsidRDefault="00AE3EE4">
            <w:r>
              <w:t>-Décompte syllabique (règle du E) ;</w:t>
            </w:r>
          </w:p>
          <w:p w:rsidR="00AE3EE4" w:rsidRDefault="00AE3EE4">
            <w:r>
              <w:t>-Disposition des rimes (embrassées, suivies)</w:t>
            </w:r>
          </w:p>
          <w:p w:rsidR="00AE3EE4" w:rsidRDefault="00AE3EE4">
            <w:r>
              <w:t>Le rythme : contre-rejet.</w:t>
            </w:r>
          </w:p>
          <w:p w:rsidR="00AE3EE4" w:rsidRDefault="00AE3EE4"/>
          <w:p w:rsidR="00AE3EE4" w:rsidRDefault="00AE3EE4"/>
        </w:tc>
        <w:tc>
          <w:tcPr>
            <w:tcW w:w="3119" w:type="dxa"/>
            <w:tcBorders>
              <w:top w:val="single" w:sz="4" w:space="0" w:color="auto"/>
              <w:left w:val="single" w:sz="4" w:space="0" w:color="auto"/>
              <w:bottom w:val="single" w:sz="4" w:space="0" w:color="auto"/>
              <w:right w:val="single" w:sz="4" w:space="0" w:color="auto"/>
            </w:tcBorders>
          </w:tcPr>
          <w:p w:rsidR="00AE3EE4" w:rsidRDefault="00AE3EE4">
            <w:r>
              <w:t>-Scansion de vers de différentes longueurs ;</w:t>
            </w:r>
          </w:p>
          <w:p w:rsidR="00AE3EE4" w:rsidRDefault="00AE3EE4">
            <w:r>
              <w:t>-Jeu : « bouts rimés »</w:t>
            </w:r>
          </w:p>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017761">
            <w:r>
              <w:t>Lecture (2</w:t>
            </w:r>
            <w:r w:rsidR="00AE3EE4">
              <w:t xml:space="preserve">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r>
              <w:t>Heureux qui comme Ulysse…, Du Bellay, Manuel, Page 26.</w:t>
            </w:r>
          </w:p>
          <w:p w:rsidR="00AE3EE4" w:rsidRDefault="00AE3EE4">
            <w:pPr>
              <w:rPr>
                <w:rFonts w:ascii="Verdana" w:hAnsi="Verdana"/>
                <w:color w:val="3D3D3D"/>
                <w:sz w:val="18"/>
                <w:szCs w:val="18"/>
                <w:shd w:val="clear" w:color="auto" w:fill="FFFFFF"/>
              </w:rPr>
            </w:pPr>
          </w:p>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-Découvrir la fonction didactique du voyage dans l’espace et dans le temps</w:t>
            </w:r>
            <w:r w:rsidR="002B5A85">
              <w:t xml:space="preserve"> </w:t>
            </w:r>
            <w:r>
              <w:t>(Antiquité) chez les humanistes ;</w:t>
            </w:r>
          </w:p>
          <w:p w:rsidR="00AE3EE4" w:rsidRDefault="00AE3EE4">
            <w:r>
              <w:t>-Découvrir un cas concret de « défense et illustration de la langue française »</w:t>
            </w:r>
          </w:p>
          <w:p w:rsidR="00AE3EE4" w:rsidRDefault="00AE3EE4">
            <w:r>
              <w:t>-Identifier un poème lyrique ;</w:t>
            </w:r>
          </w:p>
          <w:p w:rsidR="00AE3EE4" w:rsidRDefault="00AE3EE4">
            <w:r>
              <w:t>-Consolider les acquisitions en versification.</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-Significations aux 1</w:t>
            </w:r>
            <w:r>
              <w:rPr>
                <w:vertAlign w:val="superscript"/>
              </w:rPr>
              <w:t>er</w:t>
            </w:r>
            <w:r>
              <w:t xml:space="preserve"> et 2</w:t>
            </w:r>
            <w:r>
              <w:rPr>
                <w:vertAlign w:val="superscript"/>
              </w:rPr>
              <w:t>e</w:t>
            </w:r>
            <w:r>
              <w:t xml:space="preserve"> degrés du texte ;</w:t>
            </w:r>
          </w:p>
          <w:p w:rsidR="00AE3EE4" w:rsidRDefault="00AE3EE4">
            <w:r>
              <w:t>- Décompte syllabique (diérèse et synérèse)</w:t>
            </w:r>
          </w:p>
        </w:tc>
        <w:tc>
          <w:tcPr>
            <w:tcW w:w="3119" w:type="dxa"/>
            <w:tcBorders>
              <w:top w:val="single" w:sz="4" w:space="0" w:color="auto"/>
              <w:left w:val="single" w:sz="4" w:space="0" w:color="auto"/>
              <w:bottom w:val="single" w:sz="4" w:space="0" w:color="auto"/>
              <w:right w:val="single" w:sz="4" w:space="0" w:color="auto"/>
            </w:tcBorders>
          </w:tcPr>
          <w:p w:rsidR="00AE3EE4" w:rsidRDefault="00AE3EE4"/>
        </w:tc>
      </w:tr>
      <w:tr w:rsidR="00AE3EE4" w:rsidTr="00AE3EE4">
        <w:tc>
          <w:tcPr>
            <w:tcW w:w="1271" w:type="dxa"/>
            <w:tcBorders>
              <w:top w:val="single" w:sz="4" w:space="0" w:color="auto"/>
              <w:left w:val="single" w:sz="4" w:space="0" w:color="auto"/>
              <w:bottom w:val="single" w:sz="4" w:space="0" w:color="auto"/>
              <w:right w:val="single" w:sz="4" w:space="0" w:color="auto"/>
            </w:tcBorders>
            <w:hideMark/>
          </w:tcPr>
          <w:p w:rsidR="00AE3EE4" w:rsidRDefault="00AE3EE4">
            <w:r>
              <w:t>Lecture (2 H)</w:t>
            </w:r>
          </w:p>
        </w:tc>
        <w:tc>
          <w:tcPr>
            <w:tcW w:w="2977" w:type="dxa"/>
            <w:tcBorders>
              <w:top w:val="single" w:sz="4" w:space="0" w:color="auto"/>
              <w:left w:val="single" w:sz="4" w:space="0" w:color="auto"/>
              <w:bottom w:val="single" w:sz="4" w:space="0" w:color="auto"/>
              <w:right w:val="single" w:sz="4" w:space="0" w:color="auto"/>
            </w:tcBorders>
          </w:tcPr>
          <w:p w:rsidR="00AE3EE4" w:rsidRDefault="00AE3EE4">
            <w:r>
              <w:t>Mignonne, allons voir, Ronsard, Manuel, Page 30</w:t>
            </w:r>
          </w:p>
          <w:p w:rsidR="00AE3EE4" w:rsidRDefault="00AE3EE4"/>
        </w:tc>
        <w:tc>
          <w:tcPr>
            <w:tcW w:w="2693" w:type="dxa"/>
            <w:tcBorders>
              <w:top w:val="single" w:sz="4" w:space="0" w:color="auto"/>
              <w:left w:val="single" w:sz="4" w:space="0" w:color="auto"/>
              <w:bottom w:val="single" w:sz="4" w:space="0" w:color="auto"/>
              <w:right w:val="single" w:sz="4" w:space="0" w:color="auto"/>
            </w:tcBorders>
            <w:hideMark/>
          </w:tcPr>
          <w:p w:rsidR="00AE3EE4" w:rsidRDefault="00AE3EE4">
            <w:r>
              <w:t>-Identifier un poème lyrique</w:t>
            </w:r>
          </w:p>
          <w:p w:rsidR="00AE3EE4" w:rsidRDefault="00AE3EE4">
            <w:r>
              <w:t>-Découvrir l’ode</w:t>
            </w:r>
          </w:p>
          <w:p w:rsidR="00AE3EE4" w:rsidRDefault="00AE3EE4">
            <w:r>
              <w:t>-Percevoir l’argumentation implicite dans le poème</w:t>
            </w:r>
          </w:p>
        </w:tc>
        <w:tc>
          <w:tcPr>
            <w:tcW w:w="2835" w:type="dxa"/>
            <w:tcBorders>
              <w:top w:val="single" w:sz="4" w:space="0" w:color="auto"/>
              <w:left w:val="single" w:sz="4" w:space="0" w:color="auto"/>
              <w:bottom w:val="single" w:sz="4" w:space="0" w:color="auto"/>
              <w:right w:val="single" w:sz="4" w:space="0" w:color="auto"/>
            </w:tcBorders>
            <w:hideMark/>
          </w:tcPr>
          <w:p w:rsidR="00AE3EE4" w:rsidRDefault="00AE3EE4">
            <w:r>
              <w:t>Argumentation implicite</w:t>
            </w:r>
          </w:p>
        </w:tc>
        <w:tc>
          <w:tcPr>
            <w:tcW w:w="3119" w:type="dxa"/>
            <w:tcBorders>
              <w:top w:val="single" w:sz="4" w:space="0" w:color="auto"/>
              <w:left w:val="single" w:sz="4" w:space="0" w:color="auto"/>
              <w:bottom w:val="single" w:sz="4" w:space="0" w:color="auto"/>
              <w:right w:val="single" w:sz="4" w:space="0" w:color="auto"/>
            </w:tcBorders>
            <w:hideMark/>
          </w:tcPr>
          <w:p w:rsidR="00AE3EE4" w:rsidRDefault="00AE3EE4">
            <w:r>
              <w:t>Réécriture : passer de l’argumentation implicite à l’argumentation explicite.</w:t>
            </w:r>
          </w:p>
        </w:tc>
      </w:tr>
    </w:tbl>
    <w:p w:rsidR="00AE3EE4" w:rsidRDefault="00AE3EE4" w:rsidP="002B5A85"/>
    <w:sectPr w:rsidR="00AE3EE4" w:rsidSect="00ED4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4"/>
    <w:rsid w:val="00017761"/>
    <w:rsid w:val="0013083E"/>
    <w:rsid w:val="001801A4"/>
    <w:rsid w:val="002034BA"/>
    <w:rsid w:val="002B5A85"/>
    <w:rsid w:val="003159E2"/>
    <w:rsid w:val="00354B90"/>
    <w:rsid w:val="00964188"/>
    <w:rsid w:val="00A332B7"/>
    <w:rsid w:val="00A82E9F"/>
    <w:rsid w:val="00AE3EE4"/>
    <w:rsid w:val="00B7390E"/>
    <w:rsid w:val="00C549E7"/>
    <w:rsid w:val="00ED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400F"/>
  <w15:chartTrackingRefBased/>
  <w15:docId w15:val="{2C162D52-FC3A-4947-A58B-40FF5996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E3E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1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881</Words>
  <Characters>4849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2017-10-30T08:46:00Z</dcterms:created>
  <dcterms:modified xsi:type="dcterms:W3CDTF">2021-11-25T12:02:00Z</dcterms:modified>
</cp:coreProperties>
</file>