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AC" w:rsidRPr="00E31FAC" w:rsidRDefault="00E31FAC">
      <w:pPr>
        <w:rPr>
          <w:b/>
        </w:rPr>
      </w:pPr>
      <w:r w:rsidRPr="00E31FAC">
        <w:rPr>
          <w:b/>
        </w:rPr>
        <w:t xml:space="preserve">Lycée Billes </w:t>
      </w:r>
    </w:p>
    <w:p w:rsidR="00E31FAC" w:rsidRPr="00E31FAC" w:rsidRDefault="00E31FAC">
      <w:pPr>
        <w:rPr>
          <w:b/>
        </w:rPr>
      </w:pPr>
      <w:r w:rsidRPr="00E31FAC">
        <w:rPr>
          <w:b/>
        </w:rPr>
        <w:t xml:space="preserve">Casse de terminale </w:t>
      </w:r>
    </w:p>
    <w:p w:rsidR="00E31FAC" w:rsidRPr="00E31FAC" w:rsidRDefault="00E31FAC">
      <w:pPr>
        <w:rPr>
          <w:b/>
        </w:rPr>
      </w:pPr>
      <w:r w:rsidRPr="00E31FAC">
        <w:rPr>
          <w:b/>
        </w:rPr>
        <w:t>Année scolaire 2021-2022</w:t>
      </w:r>
    </w:p>
    <w:p w:rsidR="00E31FAC" w:rsidRDefault="00E31FAC">
      <w:pPr>
        <w:rPr>
          <w:b/>
        </w:rPr>
      </w:pPr>
      <w:r w:rsidRPr="00E31FAC">
        <w:rPr>
          <w:b/>
        </w:rPr>
        <w:t>M. Djimera</w:t>
      </w:r>
    </w:p>
    <w:p w:rsidR="00E31FAC" w:rsidRPr="0092642D" w:rsidRDefault="00E31FAC">
      <w:pPr>
        <w:rPr>
          <w:b/>
          <w:u w:val="single"/>
        </w:rPr>
      </w:pPr>
      <w:r>
        <w:rPr>
          <w:b/>
        </w:rPr>
        <w:tab/>
      </w:r>
      <w:r>
        <w:rPr>
          <w:b/>
        </w:rPr>
        <w:tab/>
      </w:r>
      <w:r w:rsidRPr="0092642D">
        <w:rPr>
          <w:b/>
          <w:u w:val="single"/>
        </w:rPr>
        <w:t>Devoir de géographie n° 1</w:t>
      </w:r>
    </w:p>
    <w:p w:rsidR="002429B9" w:rsidRPr="0092642D" w:rsidRDefault="00E31FAC">
      <w:pPr>
        <w:rPr>
          <w:i/>
        </w:rPr>
      </w:pPr>
      <w:r w:rsidRPr="0092642D">
        <w:rPr>
          <w:i/>
        </w:rPr>
        <w:t>Doc 1 : Classement</w:t>
      </w:r>
      <w:r w:rsidR="002429B9" w:rsidRPr="0092642D">
        <w:rPr>
          <w:i/>
        </w:rPr>
        <w:t xml:space="preserve"> des économies en fonction du commerce des services commerciaux en 2014</w:t>
      </w:r>
    </w:p>
    <w:tbl>
      <w:tblPr>
        <w:tblStyle w:val="Grilledutableau"/>
        <w:tblW w:w="0" w:type="auto"/>
        <w:tblLook w:val="04A0" w:firstRow="1" w:lastRow="0" w:firstColumn="1" w:lastColumn="0" w:noHBand="0" w:noVBand="1"/>
      </w:tblPr>
      <w:tblGrid>
        <w:gridCol w:w="4531"/>
        <w:gridCol w:w="4531"/>
      </w:tblGrid>
      <w:tr w:rsidR="00DE6CA9" w:rsidTr="00DE6CA9">
        <w:tc>
          <w:tcPr>
            <w:tcW w:w="4531" w:type="dxa"/>
          </w:tcPr>
          <w:p w:rsidR="00DE6CA9" w:rsidRDefault="00DE6CA9">
            <w:r>
              <w:t>Groupe de pays</w:t>
            </w:r>
          </w:p>
        </w:tc>
        <w:tc>
          <w:tcPr>
            <w:tcW w:w="4531" w:type="dxa"/>
          </w:tcPr>
          <w:p w:rsidR="00DE6CA9" w:rsidRDefault="00DE6CA9">
            <w:r>
              <w:t>Intervalle en fo</w:t>
            </w:r>
            <w:r w:rsidR="00101603">
              <w:t xml:space="preserve">nction du commerce de service en </w:t>
            </w:r>
            <w:r>
              <w:t xml:space="preserve"> milliard de dollar US</w:t>
            </w:r>
          </w:p>
        </w:tc>
      </w:tr>
      <w:tr w:rsidR="00DE6CA9" w:rsidTr="00DE6CA9">
        <w:tc>
          <w:tcPr>
            <w:tcW w:w="4531" w:type="dxa"/>
          </w:tcPr>
          <w:p w:rsidR="00DE6CA9" w:rsidRDefault="00DE6CA9">
            <w:r>
              <w:t>Pays moins avancés</w:t>
            </w:r>
          </w:p>
        </w:tc>
        <w:tc>
          <w:tcPr>
            <w:tcW w:w="4531" w:type="dxa"/>
          </w:tcPr>
          <w:p w:rsidR="00DE6CA9" w:rsidRDefault="00DE6CA9">
            <w:r>
              <w:t>0-25</w:t>
            </w:r>
          </w:p>
        </w:tc>
      </w:tr>
      <w:tr w:rsidR="00DE6CA9" w:rsidTr="00DE6CA9">
        <w:tc>
          <w:tcPr>
            <w:tcW w:w="4531" w:type="dxa"/>
          </w:tcPr>
          <w:p w:rsidR="00DE6CA9" w:rsidRDefault="00DE6CA9">
            <w:r>
              <w:t>Pays en exportateurs de pétrole d’Afrique et de l’Amérique latine</w:t>
            </w:r>
          </w:p>
        </w:tc>
        <w:tc>
          <w:tcPr>
            <w:tcW w:w="4531" w:type="dxa"/>
          </w:tcPr>
          <w:p w:rsidR="00DE6CA9" w:rsidRDefault="00DE6CA9">
            <w:r>
              <w:t>25-50</w:t>
            </w:r>
          </w:p>
        </w:tc>
      </w:tr>
      <w:tr w:rsidR="00DE6CA9" w:rsidTr="00DE6CA9">
        <w:tc>
          <w:tcPr>
            <w:tcW w:w="4531" w:type="dxa"/>
          </w:tcPr>
          <w:p w:rsidR="00DE6CA9" w:rsidRDefault="00DE6CA9">
            <w:r>
              <w:t xml:space="preserve">Mexique </w:t>
            </w:r>
            <w:r w:rsidR="003513B4">
              <w:t>Arabie Saoudite NPIA</w:t>
            </w:r>
          </w:p>
        </w:tc>
        <w:tc>
          <w:tcPr>
            <w:tcW w:w="4531" w:type="dxa"/>
          </w:tcPr>
          <w:p w:rsidR="00DE6CA9" w:rsidRDefault="00DE6CA9">
            <w:r>
              <w:t>50-100</w:t>
            </w:r>
          </w:p>
        </w:tc>
      </w:tr>
      <w:tr w:rsidR="00DE6CA9" w:rsidTr="00DE6CA9">
        <w:tc>
          <w:tcPr>
            <w:tcW w:w="4531" w:type="dxa"/>
          </w:tcPr>
          <w:p w:rsidR="00DE6CA9" w:rsidRDefault="003513B4">
            <w:r>
              <w:t>Triade et BBRICS</w:t>
            </w:r>
          </w:p>
        </w:tc>
        <w:tc>
          <w:tcPr>
            <w:tcW w:w="4531" w:type="dxa"/>
          </w:tcPr>
          <w:p w:rsidR="00DE6CA9" w:rsidRDefault="00DE6CA9">
            <w:r>
              <w:t>Plus 100</w:t>
            </w:r>
          </w:p>
        </w:tc>
      </w:tr>
    </w:tbl>
    <w:p w:rsidR="00DE6CA9" w:rsidRDefault="003513B4">
      <w:pPr>
        <w:rPr>
          <w:b/>
          <w:i/>
        </w:rPr>
      </w:pPr>
      <w:r w:rsidRPr="003513B4">
        <w:rPr>
          <w:b/>
          <w:i/>
        </w:rPr>
        <w:t>Source : OMC 2014</w:t>
      </w:r>
    </w:p>
    <w:p w:rsidR="003513B4" w:rsidRPr="003513B4" w:rsidRDefault="003513B4">
      <w:pPr>
        <w:rPr>
          <w:b/>
          <w:i/>
        </w:rPr>
      </w:pPr>
      <w:r>
        <w:rPr>
          <w:b/>
          <w:i/>
        </w:rPr>
        <w:t>DOC 2 :l’inégale réparation des échanges</w:t>
      </w:r>
    </w:p>
    <w:tbl>
      <w:tblPr>
        <w:tblStyle w:val="Grilledutableau"/>
        <w:tblW w:w="0" w:type="auto"/>
        <w:tblLook w:val="04A0" w:firstRow="1" w:lastRow="0" w:firstColumn="1" w:lastColumn="0" w:noHBand="0" w:noVBand="1"/>
      </w:tblPr>
      <w:tblGrid>
        <w:gridCol w:w="3020"/>
        <w:gridCol w:w="3021"/>
        <w:gridCol w:w="3021"/>
      </w:tblGrid>
      <w:tr w:rsidR="002429B9" w:rsidTr="002429B9">
        <w:tc>
          <w:tcPr>
            <w:tcW w:w="3020" w:type="dxa"/>
          </w:tcPr>
          <w:p w:rsidR="002429B9" w:rsidRDefault="002429B9">
            <w:r>
              <w:t xml:space="preserve">10 </w:t>
            </w:r>
            <w:r w:rsidR="00DE6CA9">
              <w:t>premiers exportateurs</w:t>
            </w:r>
            <w:r>
              <w:t xml:space="preserve"> de services commerciaux dans le monde</w:t>
            </w:r>
          </w:p>
        </w:tc>
        <w:tc>
          <w:tcPr>
            <w:tcW w:w="3021" w:type="dxa"/>
          </w:tcPr>
          <w:p w:rsidR="002429B9" w:rsidRDefault="002429B9">
            <w:r>
              <w:t>Les pays en voie de développement</w:t>
            </w:r>
          </w:p>
        </w:tc>
        <w:tc>
          <w:tcPr>
            <w:tcW w:w="3021" w:type="dxa"/>
          </w:tcPr>
          <w:p w:rsidR="002429B9" w:rsidRDefault="002429B9">
            <w:r>
              <w:t>Total des exportations</w:t>
            </w:r>
            <w:r w:rsidR="00B17EF2">
              <w:t xml:space="preserve"> </w:t>
            </w:r>
            <w:bookmarkStart w:id="0" w:name="_GoBack"/>
            <w:bookmarkEnd w:id="0"/>
            <w:r>
              <w:t>de services commerciaux</w:t>
            </w:r>
            <w:r w:rsidR="00DE6CA9">
              <w:t xml:space="preserve"> en milliard de dollar US</w:t>
            </w:r>
          </w:p>
        </w:tc>
      </w:tr>
      <w:tr w:rsidR="002429B9" w:rsidTr="002429B9">
        <w:tc>
          <w:tcPr>
            <w:tcW w:w="3020" w:type="dxa"/>
          </w:tcPr>
          <w:p w:rsidR="002429B9" w:rsidRDefault="00DE6CA9">
            <w:r>
              <w:t>51%</w:t>
            </w:r>
          </w:p>
        </w:tc>
        <w:tc>
          <w:tcPr>
            <w:tcW w:w="3021" w:type="dxa"/>
          </w:tcPr>
          <w:p w:rsidR="002429B9" w:rsidRDefault="00DE6CA9">
            <w:r>
              <w:t>34%</w:t>
            </w:r>
          </w:p>
        </w:tc>
        <w:tc>
          <w:tcPr>
            <w:tcW w:w="3021" w:type="dxa"/>
          </w:tcPr>
          <w:p w:rsidR="002429B9" w:rsidRDefault="00DE6CA9">
            <w:r>
              <w:t>4870</w:t>
            </w:r>
          </w:p>
        </w:tc>
      </w:tr>
    </w:tbl>
    <w:p w:rsidR="003513B4" w:rsidRPr="003513B4" w:rsidRDefault="003513B4">
      <w:pPr>
        <w:rPr>
          <w:b/>
        </w:rPr>
      </w:pPr>
      <w:r w:rsidRPr="003513B4">
        <w:rPr>
          <w:b/>
        </w:rPr>
        <w:t>Source : OMC 2014</w:t>
      </w:r>
    </w:p>
    <w:p w:rsidR="000A07CB" w:rsidRDefault="00EB7A9E">
      <w:r>
        <w:t>Impact de la COVID-19 sur le commerce mondial En volume, le commerce mondial de marchandises a reculé de 14,3% au deuxième trimestre de 2020 par rapport à la période précédente, les mesures d’endiguement de la COVID-19 ayant affecté les économies du monde entier. Cette contraction est plus marquée que la baisse de 10,2% enregistrée pendant la crise financière entre le troisième trimestre de 2008 et le premier trimestre de 2009. Toutefois, la plupart des catégories de produits manufacturés ont enregistré des gains importants au cours du second semestre 2020. Le commerce mondial des produits sidérurgiques a perdu 17% au troisième trimestre, mais cette baisse a été ramenée à 2% au quatrième trimestre. Le commerce des produits sidérurgiques est révélateur des conditions économiques plus larges, car ces produits sont très utilisés dans la construction automobile et le bâtiment, deux secteurs durement touchés par la pandémie. La forte croissance du commerce des textiles au troisième et au quatrième trimestre reflète en partie la forte demande de masques médicaux. Les biens électroniques, y compris les ordinateurs, ont également connu une croissance régulière de 12% au cours du second semestre de 2020, en raison de la forte demande d’équipements modernes pour faciliter le travail à distance. Les services de voyage et de transport, en baisse de 63% et 19% respectivement en 2020, ont été directement affectés par les mesures d’endiguement destinées à limiter la propagation de la COVID-19, dont beaucoup restent en place ou ont été renforcées en réponse à la résurgence de la maladie. Le nombre de vols internationaux quotidiens a chuté d’environ 80% au premier trimestre de 2020 en raison de la fermeture des frontières destinée à réduire la propagation de la COVID-19</w:t>
      </w:r>
      <w:r w:rsidR="00343098">
        <w:t>.</w:t>
      </w:r>
    </w:p>
    <w:p w:rsidR="003513B4" w:rsidRDefault="003513B4">
      <w:pPr>
        <w:rPr>
          <w:b/>
          <w:i/>
        </w:rPr>
      </w:pPr>
      <w:r w:rsidRPr="003513B4">
        <w:rPr>
          <w:b/>
          <w:i/>
        </w:rPr>
        <w:t>Source </w:t>
      </w:r>
      <w:r w:rsidR="00343098" w:rsidRPr="003513B4">
        <w:rPr>
          <w:b/>
          <w:i/>
        </w:rPr>
        <w:t>: OMC</w:t>
      </w:r>
      <w:r w:rsidRPr="003513B4">
        <w:rPr>
          <w:b/>
          <w:i/>
        </w:rPr>
        <w:t xml:space="preserve"> 2021</w:t>
      </w:r>
    </w:p>
    <w:p w:rsidR="003513B4" w:rsidRDefault="003513B4">
      <w:pPr>
        <w:rPr>
          <w:b/>
          <w:i/>
        </w:rPr>
      </w:pPr>
      <w:r>
        <w:rPr>
          <w:b/>
          <w:i/>
        </w:rPr>
        <w:t>Consigne :</w:t>
      </w:r>
    </w:p>
    <w:p w:rsidR="00F8423F" w:rsidRPr="00B17EF2" w:rsidRDefault="003513B4" w:rsidP="00B17EF2">
      <w:pPr>
        <w:pStyle w:val="Paragraphedeliste"/>
        <w:numPr>
          <w:ilvl w:val="0"/>
          <w:numId w:val="1"/>
        </w:numPr>
        <w:rPr>
          <w:b/>
          <w:i/>
        </w:rPr>
      </w:pPr>
      <w:r w:rsidRPr="00B17EF2">
        <w:rPr>
          <w:b/>
          <w:i/>
        </w:rPr>
        <w:lastRenderedPageBreak/>
        <w:t xml:space="preserve">Calcule la part en valeur absolue des </w:t>
      </w:r>
      <w:r w:rsidR="00F8423F" w:rsidRPr="00B17EF2">
        <w:rPr>
          <w:b/>
          <w:i/>
        </w:rPr>
        <w:t>différents</w:t>
      </w:r>
      <w:r w:rsidRPr="00B17EF2">
        <w:rPr>
          <w:b/>
          <w:i/>
        </w:rPr>
        <w:t xml:space="preserve"> groupes de pays dans les exportations </w:t>
      </w:r>
      <w:proofErr w:type="gramStart"/>
      <w:r w:rsidRPr="00B17EF2">
        <w:rPr>
          <w:b/>
          <w:i/>
        </w:rPr>
        <w:t xml:space="preserve">totales </w:t>
      </w:r>
      <w:r w:rsidR="00B17EF2">
        <w:rPr>
          <w:b/>
          <w:i/>
        </w:rPr>
        <w:t>.</w:t>
      </w:r>
      <w:proofErr w:type="gramEnd"/>
    </w:p>
    <w:p w:rsidR="003513B4" w:rsidRPr="00B17EF2" w:rsidRDefault="00F8423F" w:rsidP="00B17EF2">
      <w:pPr>
        <w:pStyle w:val="Paragraphedeliste"/>
        <w:numPr>
          <w:ilvl w:val="0"/>
          <w:numId w:val="1"/>
        </w:numPr>
        <w:rPr>
          <w:b/>
          <w:i/>
        </w:rPr>
      </w:pPr>
      <w:r w:rsidRPr="00B17EF2">
        <w:rPr>
          <w:b/>
          <w:i/>
        </w:rPr>
        <w:t>Construi</w:t>
      </w:r>
      <w:r w:rsidR="003513B4" w:rsidRPr="00B17EF2">
        <w:rPr>
          <w:b/>
          <w:i/>
        </w:rPr>
        <w:t xml:space="preserve">s 2 graphiques </w:t>
      </w:r>
      <w:r w:rsidRPr="00B17EF2">
        <w:rPr>
          <w:b/>
          <w:i/>
        </w:rPr>
        <w:t>pertinents</w:t>
      </w:r>
      <w:r w:rsidR="003513B4" w:rsidRPr="00B17EF2">
        <w:rPr>
          <w:b/>
          <w:i/>
        </w:rPr>
        <w:t xml:space="preserve"> du classement des économies en fonction des échanges et la réparti</w:t>
      </w:r>
      <w:r w:rsidRPr="00B17EF2">
        <w:rPr>
          <w:b/>
          <w:i/>
        </w:rPr>
        <w:t>ti</w:t>
      </w:r>
      <w:r w:rsidR="003513B4" w:rsidRPr="00B17EF2">
        <w:rPr>
          <w:b/>
          <w:i/>
        </w:rPr>
        <w:t xml:space="preserve">on du volume des exportations de service </w:t>
      </w:r>
    </w:p>
    <w:p w:rsidR="00F8423F" w:rsidRPr="00B17EF2" w:rsidRDefault="00F8423F" w:rsidP="00B17EF2">
      <w:pPr>
        <w:pStyle w:val="Paragraphedeliste"/>
        <w:numPr>
          <w:ilvl w:val="0"/>
          <w:numId w:val="1"/>
        </w:numPr>
        <w:rPr>
          <w:b/>
          <w:i/>
        </w:rPr>
      </w:pPr>
      <w:r w:rsidRPr="00B17EF2">
        <w:rPr>
          <w:b/>
          <w:i/>
        </w:rPr>
        <w:t>Analyse l’évolution du système  monde depuis la crise de 2008 à celle de la pandémie du covid-19</w:t>
      </w:r>
    </w:p>
    <w:sectPr w:rsidR="00F8423F" w:rsidRPr="00B17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574C"/>
    <w:multiLevelType w:val="hybridMultilevel"/>
    <w:tmpl w:val="9CB680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9E"/>
    <w:rsid w:val="000A07CB"/>
    <w:rsid w:val="00101603"/>
    <w:rsid w:val="002429B9"/>
    <w:rsid w:val="00343098"/>
    <w:rsid w:val="003513B4"/>
    <w:rsid w:val="003D10F1"/>
    <w:rsid w:val="006A58AB"/>
    <w:rsid w:val="0092642D"/>
    <w:rsid w:val="00B17EF2"/>
    <w:rsid w:val="00DE6CA9"/>
    <w:rsid w:val="00E31FAC"/>
    <w:rsid w:val="00EB7A9E"/>
    <w:rsid w:val="00F842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3577D-6125-48DD-B8E3-B41A40C5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42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1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438</Words>
  <Characters>2413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2021-11-30T08:59:00Z</dcterms:created>
  <dcterms:modified xsi:type="dcterms:W3CDTF">2021-11-30T13:07:00Z</dcterms:modified>
</cp:coreProperties>
</file>