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395B31E6"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0.1.</w:t>
      </w:r>
      <w:r w:rsidR="001977E1" w:rsidRPr="00CE7AC1">
        <w:rPr>
          <w:rFonts w:ascii="Times New Roman" w:eastAsia="Times New Roman" w:hAnsi="Times New Roman" w:cs="Times New Roman"/>
          <w:sz w:val="36"/>
          <w:szCs w:val="36"/>
        </w:rPr>
        <w:t>9</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13403E90" w:rsidR="002A64C5" w:rsidRPr="00CE7AC1"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Test skimmability of rulebook: give to unfamiliar GM, quiz them, time how long it takes to find the answer (regardless of correctness).</w:t>
      </w:r>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ACC6EAB" w14:textId="77777777"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7FBE69F6" w14:textId="0794BECE" w:rsidR="001977E1" w:rsidRPr="00CE7AC1" w:rsidRDefault="001977E1" w:rsidP="001977E1">
      <w:pPr>
        <w:pStyle w:val="Heading2"/>
        <w:rPr>
          <w:sz w:val="28"/>
          <w:szCs w:val="28"/>
        </w:rPr>
      </w:pPr>
      <w:r w:rsidRPr="00CE7AC1">
        <w:rPr>
          <w:sz w:val="28"/>
          <w:szCs w:val="28"/>
        </w:rPr>
        <w:t>7/</w:t>
      </w:r>
      <w:r w:rsidRPr="00CE7AC1">
        <w:rPr>
          <w:sz w:val="28"/>
          <w:szCs w:val="28"/>
        </w:rPr>
        <w:t>6</w:t>
      </w:r>
      <w:r w:rsidRPr="00CE7AC1">
        <w:rPr>
          <w:sz w:val="28"/>
          <w:szCs w:val="28"/>
        </w:rPr>
        <w:t>/2023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Scharisma’s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I adjusted the character sheet so players only hve to track Points they gain from leveling up.</w:t>
      </w:r>
    </w:p>
    <w:p w14:paraId="2BBB6391" w14:textId="268C8CCC" w:rsidR="00146D74" w:rsidRPr="00CE7AC1"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SimpleTop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The old SimpleTop file is renamed to SimpleTop Printer Friendly.</w:t>
      </w:r>
      <w:r w:rsidRPr="00CE7AC1">
        <w:rPr>
          <w:sz w:val="24"/>
          <w:szCs w:val="24"/>
        </w:rPr>
        <w:br/>
        <w:t xml:space="preserve">The Print Book version is renamed to simple SimpleTop. </w:t>
      </w:r>
    </w:p>
    <w:p w14:paraId="1C6294DB" w14:textId="48BD800A" w:rsidR="003343C8" w:rsidRPr="00CE7AC1" w:rsidRDefault="003343C8" w:rsidP="003B3188">
      <w:pPr>
        <w:rPr>
          <w:sz w:val="24"/>
          <w:szCs w:val="24"/>
        </w:rPr>
      </w:pPr>
      <w:r w:rsidRPr="00CE7AC1">
        <w:rPr>
          <w:sz w:val="24"/>
          <w:szCs w:val="24"/>
        </w:rPr>
        <w:t>I have decided to primarily work on the Print Book as the “main version” for SimpleTop.</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SimpleTop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skimmable;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46D74"/>
    <w:rsid w:val="0016576F"/>
    <w:rsid w:val="00173608"/>
    <w:rsid w:val="001977E1"/>
    <w:rsid w:val="001C58CE"/>
    <w:rsid w:val="001E50E4"/>
    <w:rsid w:val="002A64C5"/>
    <w:rsid w:val="002B5A9A"/>
    <w:rsid w:val="002D0851"/>
    <w:rsid w:val="002D4274"/>
    <w:rsid w:val="003343C8"/>
    <w:rsid w:val="003B3188"/>
    <w:rsid w:val="00405E80"/>
    <w:rsid w:val="00434126"/>
    <w:rsid w:val="004950B4"/>
    <w:rsid w:val="004B2302"/>
    <w:rsid w:val="004B30FA"/>
    <w:rsid w:val="005106FF"/>
    <w:rsid w:val="00521995"/>
    <w:rsid w:val="00610CA6"/>
    <w:rsid w:val="00671759"/>
    <w:rsid w:val="006E000D"/>
    <w:rsid w:val="006F665C"/>
    <w:rsid w:val="007746DB"/>
    <w:rsid w:val="007E59AC"/>
    <w:rsid w:val="007F6CFF"/>
    <w:rsid w:val="0081779B"/>
    <w:rsid w:val="00885627"/>
    <w:rsid w:val="008D645E"/>
    <w:rsid w:val="0091572B"/>
    <w:rsid w:val="009A7FC0"/>
    <w:rsid w:val="00A15549"/>
    <w:rsid w:val="00A24565"/>
    <w:rsid w:val="00A84A6B"/>
    <w:rsid w:val="00B32F27"/>
    <w:rsid w:val="00B53ED1"/>
    <w:rsid w:val="00B92124"/>
    <w:rsid w:val="00BE6A78"/>
    <w:rsid w:val="00C310DE"/>
    <w:rsid w:val="00C500B5"/>
    <w:rsid w:val="00CE7AC1"/>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25</cp:revision>
  <dcterms:created xsi:type="dcterms:W3CDTF">2023-06-04T02:38:00Z</dcterms:created>
  <dcterms:modified xsi:type="dcterms:W3CDTF">2023-07-06T21:59:00Z</dcterms:modified>
</cp:coreProperties>
</file>