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b/>
          <w:bCs/>
          <w:color w:val="1F3864"/>
          <w:sz w:val="56"/>
          <w:szCs w:val="56"/>
        </w:rPr>
        <w:t xml:space="preserve">AuditMD Implementation Guide</w:t>
      </w:r>
    </w:p>
    <w:p>
      <w:pPr>
        <w:spacing w:after="600"/>
        <w:jc w:val="center"/>
      </w:pPr>
      <w:r>
        <w:rPr>
          <w:b/>
          <w:bCs/>
          <w:color w:val="2E74B5"/>
          <w:sz w:val="32"/>
          <w:szCs w:val="32"/>
        </w:rPr>
        <w:t xml:space="preserve">Click-by-Click Rollout Instructions</w:t>
      </w:r>
    </w:p>
    <w:p>
      <w:pPr>
        <w:spacing w:after="80"/>
        <w:jc w:val="center"/>
      </w:pPr>
      <w:r>
        <w:rPr>
          <w:color w:val="595959"/>
          <w:sz w:val="22"/>
          <w:szCs w:val="22"/>
        </w:rPr>
        <w:t xml:space="preserve">Companion to: AuditMD_Automation_Redesign_Blueprint.docx</w:t>
      </w:r>
    </w:p>
    <w:p>
      <w:pPr>
        <w:spacing w:after="80"/>
        <w:jc w:val="center"/>
      </w:pPr>
      <w:r>
        <w:rPr>
          <w:color w:val="595959"/>
          <w:sz w:val="22"/>
          <w:szCs w:val="22"/>
        </w:rPr>
        <w:t xml:space="preserve">Companion to: AuditMD_Zapier_Copilot_Prompts_Pack.docx</w:t>
      </w:r>
    </w:p>
    <w:p>
      <w:pPr>
        <w:spacing w:after="80"/>
        <w:jc w:val="center"/>
      </w:pPr>
      <w:r>
        <w:rPr>
          <w:color w:val="595959"/>
          <w:sz w:val="22"/>
          <w:szCs w:val="22"/>
        </w:rPr>
        <w:t xml:space="preserve">Companion to: AuditMD_Operational_Guidelines.docx</w:t>
      </w:r>
    </w:p>
    <w:p>
      <w:pPr>
        <w:spacing w:after="80"/>
        <w:jc w:val="center"/>
      </w:pPr>
      <w:r>
        <w:rPr>
          <w:color w:val="595959"/>
          <w:sz w:val="22"/>
          <w:szCs w:val="22"/>
        </w:rPr>
        <w:t xml:space="preserve">Version 1.0 — July 14, 2026</w:t>
      </w:r>
    </w:p>
    <w:p>
      <w:r>
        <w:br w:type="page"/>
      </w:r>
    </w:p>
    <w:p>
      <w:pPr>
        <w:pStyle w:val="Heading1"/>
        <w:pBdr>
          <w:bottom w:val="single" w:color="2E74B5" w:sz="8" w:space="4"/>
        </w:pBdr>
        <w:spacing w:after="160" w:before="360"/>
      </w:pPr>
      <w:r>
        <w:t xml:space="preserve">0. Before You Touch Anything</w:t>
      </w:r>
    </w:p>
    <w:p>
      <w:pPr>
        <w:spacing w:after="160" w:line="276"/>
      </w:pPr>
      <w:r>
        <w:t xml:space="preserve">This guide assumes the Blueprint's diagnosis (Sections 3–4) as the reason for each step. It does not repeat the reasoning here — it tells you exactly where to click. Work through Section 1 first: it's a 10-minute check that may explain several of your reported symptoms on its own.</w:t>
      </w:r>
    </w:p>
    <w:p>
      <w:pPr>
        <w:pStyle w:val="Heading1"/>
        <w:pBdr>
          <w:bottom w:val="single" w:color="2E74B5" w:sz="8" w:space="4"/>
        </w:pBdr>
        <w:spacing w:after="160" w:before="360"/>
      </w:pPr>
      <w:r>
        <w:t xml:space="preserve">1. CRITICAL FIRST CHECK — Netlify Webhook URLs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FF7DC" w:val="clear"/>
            <w:tcMar>
              <w:top w:type="dxa" w:w="140"/>
              <w:left w:type="dxa" w:w="200"/>
              <w:bottom w:type="dxa" w:w="140"/>
              <w:right w:type="dxa" w:w="200"/>
            </w:tcMar>
          </w:tcPr>
          <w:p>
            <w:pPr>
              <w:spacing w:after="60"/>
            </w:pPr>
            <w:r>
              <w:rPr>
                <w:b/>
                <w:bCs/>
                <w:color w:val="1F3864"/>
                <w:sz w:val="20"/>
                <w:szCs w:val="20"/>
              </w:rPr>
              <w:t xml:space="preserve">Why this is first</w:t>
            </w:r>
          </w:p>
          <w:p>
            <w:pPr>
              <w:spacing w:after="0"/>
            </w:pPr>
            <w:r>
              <w:rPr>
                <w:color w:val="404040"/>
                <w:sz w:val="19"/>
                <w:szCs w:val="19"/>
              </w:rPr>
              <w:t xml:space="preserve">The webhook list you provided at the top of your working notes (427ukjx, 42vcymz, 42vcsu6, 4u2kgfe, 42apbwf) does not match the hook suffix recorded in this project's prior session notes (4u4bnmq for Pre-Call). If the live Netlify site is still pointing at old hook URLs, every form built on the proxy (Pre-Call, Stakeholder, Governance, HIPAA, EHR, PMO, Post-Audit) would silently fail to reach Zapier — which would explain issue #5 (no pre-call follow-up) and could contribute to the stakeholder-form symptom in issue #4. This needs your eyes, not mine — I cannot read Netlify's stored environment variable values.</w:t>
            </w:r>
          </w:p>
        </w:tc>
      </w:tr>
    </w:tbl>
    <w:p>
      <w:pPr>
        <w:spacing w:after="160" w:line="276"/>
      </w:pPr>
      <w:r>
        <w:t xml:space="preserve"/>
      </w:r>
    </w:p>
    <w:p>
      <w:pPr>
        <w:pStyle w:val="ListParagraph"/>
        <w:numPr>
          <w:ilvl w:val="0"/>
          <w:numId w:val="2"/>
        </w:numPr>
        <w:spacing w:after="100" w:line="276"/>
      </w:pPr>
      <w:r>
        <w:t xml:space="preserve">Log into Netlify → select the auditmd.xyz site → Site configuration → Environment variables.</w:t>
      </w:r>
    </w:p>
    <w:p>
      <w:pPr>
        <w:pStyle w:val="ListParagraph"/>
        <w:numPr>
          <w:ilvl w:val="0"/>
          <w:numId w:val="2"/>
        </w:numPr>
        <w:spacing w:after="100" w:line="276"/>
      </w:pPr>
      <w:r>
        <w:t xml:space="preserve">For each of the 5 variables below, check the current value against the “should be” column. Update any that don't match.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shd w:fill="1F3864" w:val="clear"/>
            <w:tcMar>
              <w:top w:type="dxa" w:w="80"/>
              <w:left w:type="dxa" w:w="100"/>
              <w:bottom w:type="dxa" w:w="80"/>
              <w:right w:type="dxa" w:w="100"/>
            </w:tcMar>
          </w:tcPr>
          <w:p>
            <w:pPr>
              <w:jc w:val="left"/>
            </w:pPr>
            <w:r>
              <w:rPr>
                <w:b/>
                <w:bCs/>
                <w:color w:val="FFFFFF"/>
                <w:sz w:val="18"/>
                <w:szCs w:val="18"/>
              </w:rPr>
              <w:t xml:space="preserve">Env Var</w:t>
            </w:r>
          </w:p>
        </w:tc>
        <w:tc>
          <w:tcPr>
            <w:tcW w:type="dxa" w:w="5960"/>
            <w:shd w:fill="1F3864" w:val="clear"/>
            <w:tcMar>
              <w:top w:type="dxa" w:w="80"/>
              <w:left w:type="dxa" w:w="100"/>
              <w:bottom w:type="dxa" w:w="80"/>
              <w:right w:type="dxa" w:w="100"/>
            </w:tcMar>
          </w:tcPr>
          <w:p>
            <w:pPr>
              <w:jc w:val="left"/>
            </w:pPr>
            <w:r>
              <w:rPr>
                <w:b/>
                <w:bCs/>
                <w:color w:val="FFFFFF"/>
                <w:sz w:val="18"/>
                <w:szCs w:val="18"/>
              </w:rPr>
              <w:t xml:space="preserve">Should Be (per your latest notes)</w:t>
            </w:r>
          </w:p>
        </w:tc>
      </w:tr>
      <w:tr>
        <w:tc>
          <w:tcPr>
            <w:tcW w:type="dxa" w:w="3400"/>
            <w:shd w:fill="F2F2F2" w:val="clear"/>
            <w:tcMar>
              <w:top w:type="dxa" w:w="80"/>
              <w:left w:type="dxa" w:w="100"/>
              <w:bottom w:type="dxa" w:w="80"/>
              <w:right w:type="dxa" w:w="100"/>
            </w:tcMar>
          </w:tcPr>
          <w:p>
            <w:pPr>
              <w:jc w:val="left"/>
            </w:pPr>
            <w:r>
              <w:rPr>
                <w:b w:val="false"/>
                <w:bCs w:val="false"/>
                <w:color w:val="000000"/>
                <w:sz w:val="17"/>
                <w:szCs w:val="17"/>
              </w:rPr>
              <w:t xml:space="preserve">ZAPIER_WEBHOOK_PRECALL</w:t>
            </w:r>
          </w:p>
        </w:tc>
        <w:tc>
          <w:tcPr>
            <w:tcW w:type="dxa" w:w="5960"/>
            <w:shd w:fill="F2F2F2" w:val="clear"/>
            <w:tcMar>
              <w:top w:type="dxa" w:w="80"/>
              <w:left w:type="dxa" w:w="100"/>
              <w:bottom w:type="dxa" w:w="80"/>
              <w:right w:type="dxa" w:w="100"/>
            </w:tcMar>
          </w:tcPr>
          <w:p>
            <w:pPr>
              <w:jc w:val="left"/>
            </w:pPr>
            <w:r>
              <w:rPr>
                <w:b w:val="false"/>
                <w:bCs w:val="false"/>
                <w:color w:val="000000"/>
                <w:sz w:val="17"/>
                <w:szCs w:val="17"/>
              </w:rPr>
              <w:t xml:space="preserve">https://hooks.zapier.com/hooks/catch/28015444/427ukjx/</w:t>
            </w:r>
          </w:p>
        </w:tc>
      </w:tr>
      <w:tr>
        <w:tc>
          <w:tcPr>
            <w:tcW w:type="dxa" w:w="3400"/>
            <w:shd w:fill="FFFFFF" w:val="clear"/>
            <w:tcMar>
              <w:top w:type="dxa" w:w="80"/>
              <w:left w:type="dxa" w:w="100"/>
              <w:bottom w:type="dxa" w:w="80"/>
              <w:right w:type="dxa" w:w="100"/>
            </w:tcMar>
          </w:tcPr>
          <w:p>
            <w:pPr>
              <w:jc w:val="left"/>
            </w:pPr>
            <w:r>
              <w:rPr>
                <w:b w:val="false"/>
                <w:bCs w:val="false"/>
                <w:color w:val="000000"/>
                <w:sz w:val="17"/>
                <w:szCs w:val="17"/>
              </w:rPr>
              <w:t xml:space="preserve">ZAPIER_WEBHOOK_STAKEHOLDER</w:t>
            </w:r>
          </w:p>
        </w:tc>
        <w:tc>
          <w:tcPr>
            <w:tcW w:type="dxa" w:w="5960"/>
            <w:shd w:fill="FFFFFF" w:val="clear"/>
            <w:tcMar>
              <w:top w:type="dxa" w:w="80"/>
              <w:left w:type="dxa" w:w="100"/>
              <w:bottom w:type="dxa" w:w="80"/>
              <w:right w:type="dxa" w:w="100"/>
            </w:tcMar>
          </w:tcPr>
          <w:p>
            <w:pPr>
              <w:jc w:val="left"/>
            </w:pPr>
            <w:r>
              <w:rPr>
                <w:b w:val="false"/>
                <w:bCs w:val="false"/>
                <w:color w:val="000000"/>
                <w:sz w:val="17"/>
                <w:szCs w:val="17"/>
              </w:rPr>
              <w:t xml:space="preserve">https://hooks.zapier.com/hooks/catch/28015444/42vcymz/</w:t>
            </w:r>
          </w:p>
        </w:tc>
      </w:tr>
      <w:tr>
        <w:tc>
          <w:tcPr>
            <w:tcW w:type="dxa" w:w="3400"/>
            <w:shd w:fill="F2F2F2" w:val="clear"/>
            <w:tcMar>
              <w:top w:type="dxa" w:w="80"/>
              <w:left w:type="dxa" w:w="100"/>
              <w:bottom w:type="dxa" w:w="80"/>
              <w:right w:type="dxa" w:w="100"/>
            </w:tcMar>
          </w:tcPr>
          <w:p>
            <w:pPr>
              <w:jc w:val="left"/>
            </w:pPr>
            <w:r>
              <w:rPr>
                <w:b w:val="false"/>
                <w:bCs w:val="false"/>
                <w:color w:val="000000"/>
                <w:sz w:val="17"/>
                <w:szCs w:val="17"/>
              </w:rPr>
              <w:t xml:space="preserve">ZAPIER_WEBHOOK_GOVERNANCE</w:t>
            </w:r>
          </w:p>
        </w:tc>
        <w:tc>
          <w:tcPr>
            <w:tcW w:type="dxa" w:w="5960"/>
            <w:shd w:fill="F2F2F2" w:val="clear"/>
            <w:tcMar>
              <w:top w:type="dxa" w:w="80"/>
              <w:left w:type="dxa" w:w="100"/>
              <w:bottom w:type="dxa" w:w="80"/>
              <w:right w:type="dxa" w:w="100"/>
            </w:tcMar>
          </w:tcPr>
          <w:p>
            <w:pPr>
              <w:jc w:val="left"/>
            </w:pPr>
            <w:r>
              <w:rPr>
                <w:b w:val="false"/>
                <w:bCs w:val="false"/>
                <w:color w:val="000000"/>
                <w:sz w:val="17"/>
                <w:szCs w:val="17"/>
              </w:rPr>
              <w:t xml:space="preserve">https://hooks.zapier.com/hooks/catch/28015444/42vcsu6/</w:t>
            </w:r>
          </w:p>
        </w:tc>
      </w:tr>
      <w:tr>
        <w:tc>
          <w:tcPr>
            <w:tcW w:type="dxa" w:w="3400"/>
            <w:shd w:fill="FFFFFF" w:val="clear"/>
            <w:tcMar>
              <w:top w:type="dxa" w:w="80"/>
              <w:left w:type="dxa" w:w="100"/>
              <w:bottom w:type="dxa" w:w="80"/>
              <w:right w:type="dxa" w:w="100"/>
            </w:tcMar>
          </w:tcPr>
          <w:p>
            <w:pPr>
              <w:jc w:val="left"/>
            </w:pPr>
            <w:r>
              <w:rPr>
                <w:b w:val="false"/>
                <w:bCs w:val="false"/>
                <w:color w:val="000000"/>
                <w:sz w:val="17"/>
                <w:szCs w:val="17"/>
              </w:rPr>
              <w:t xml:space="preserve">ZAPIER_WEBHOOK_ASSESSMENT</w:t>
            </w:r>
          </w:p>
        </w:tc>
        <w:tc>
          <w:tcPr>
            <w:tcW w:type="dxa" w:w="5960"/>
            <w:shd w:fill="FFFFFF" w:val="clear"/>
            <w:tcMar>
              <w:top w:type="dxa" w:w="80"/>
              <w:left w:type="dxa" w:w="100"/>
              <w:bottom w:type="dxa" w:w="80"/>
              <w:right w:type="dxa" w:w="100"/>
            </w:tcMar>
          </w:tcPr>
          <w:p>
            <w:pPr>
              <w:jc w:val="left"/>
            </w:pPr>
            <w:r>
              <w:rPr>
                <w:b w:val="false"/>
                <w:bCs w:val="false"/>
                <w:color w:val="000000"/>
                <w:sz w:val="17"/>
                <w:szCs w:val="17"/>
              </w:rPr>
              <w:t xml:space="preserve">https://hooks.zapier.com/hooks/catch/28015444/4u2kgfe/</w:t>
            </w:r>
          </w:p>
        </w:tc>
      </w:tr>
      <w:tr>
        <w:tc>
          <w:tcPr>
            <w:tcW w:type="dxa" w:w="3400"/>
            <w:shd w:fill="F2F2F2" w:val="clear"/>
            <w:tcMar>
              <w:top w:type="dxa" w:w="80"/>
              <w:left w:type="dxa" w:w="100"/>
              <w:bottom w:type="dxa" w:w="80"/>
              <w:right w:type="dxa" w:w="100"/>
            </w:tcMar>
          </w:tcPr>
          <w:p>
            <w:pPr>
              <w:jc w:val="left"/>
            </w:pPr>
            <w:r>
              <w:rPr>
                <w:b w:val="false"/>
                <w:bCs w:val="false"/>
                <w:color w:val="000000"/>
                <w:sz w:val="17"/>
                <w:szCs w:val="17"/>
              </w:rPr>
              <w:t xml:space="preserve">ZAPIER_WEBHOOK_POSTAUDIT</w:t>
            </w:r>
          </w:p>
        </w:tc>
        <w:tc>
          <w:tcPr>
            <w:tcW w:type="dxa" w:w="5960"/>
            <w:shd w:fill="F2F2F2" w:val="clear"/>
            <w:tcMar>
              <w:top w:type="dxa" w:w="80"/>
              <w:left w:type="dxa" w:w="100"/>
              <w:bottom w:type="dxa" w:w="80"/>
              <w:right w:type="dxa" w:w="100"/>
            </w:tcMar>
          </w:tcPr>
          <w:p>
            <w:pPr>
              <w:jc w:val="left"/>
            </w:pPr>
            <w:r>
              <w:rPr>
                <w:b w:val="false"/>
                <w:bCs w:val="false"/>
                <w:color w:val="000000"/>
                <w:sz w:val="17"/>
                <w:szCs w:val="17"/>
              </w:rPr>
              <w:t xml:space="preserve">https://hooks.zapier.com/hooks/catch/28015444/42apbwf/</w:t>
            </w:r>
          </w:p>
        </w:tc>
      </w:tr>
    </w:tbl>
    <w:p>
      <w:pPr>
        <w:spacing w:after="160" w:line="276"/>
      </w:pPr>
      <w:r>
        <w:t xml:space="preserve"/>
      </w:r>
    </w:p>
    <w:p>
      <w:pPr>
        <w:pStyle w:val="ListParagraph"/>
        <w:numPr>
          <w:ilvl w:val="0"/>
          <w:numId w:val="2"/>
        </w:numPr>
        <w:spacing w:after="100" w:line="276"/>
      </w:pPr>
      <w:r>
        <w:t xml:space="preserve">After saving changes, trigger a redeploy: Netlify → Deploys → Trigger deploy → Clear cache and deploy site. (Function env vars are only picked up on a fresh deploy.)</w:t>
      </w:r>
    </w:p>
    <w:p>
      <w:pPr>
        <w:pStyle w:val="ListParagraph"/>
        <w:numPr>
          <w:ilvl w:val="0"/>
          <w:numId w:val="2"/>
        </w:numPr>
        <w:spacing w:after="100" w:line="276"/>
      </w:pPr>
      <w:r>
        <w:t xml:space="preserve">Test each form live: submit forms/pre-call.html, forms/stakeholder-survey.html, forms/governance.html, forms/hipaa-compliance.html with dummy data and confirm rows appear in the matching *_RESPONSES sheet within a minute.</w:t>
      </w:r>
    </w:p>
    <w:p>
      <w:pPr>
        <w:pStyle w:val="ListParagraph"/>
        <w:numPr>
          <w:ilvl w:val="0"/>
          <w:numId w:val="2"/>
        </w:numPr>
        <w:spacing w:after="100" w:line="276"/>
      </w:pPr>
      <w:r>
        <w:t xml:space="preserve">Separately verify the Intake form's hardcoded hook — open start.html and index.html, confirm the ZAPIER_WEBHOOK_URL constant (currently 42m9m34) still matches ZAP 1's live trigger step in Zapier. This one bypasses the proxy entirely, so it isn't affected by the Netlify env vars above, but it's worth a one-time check since it's a single point of failure with no fallback.</w:t>
      </w:r>
    </w:p>
    <w:p>
      <w:pPr>
        <w:pStyle w:val="Heading1"/>
        <w:pBdr>
          <w:bottom w:val="single" w:color="2E74B5" w:sz="8" w:space="4"/>
        </w:pBdr>
        <w:spacing w:after="160" w:before="360"/>
      </w:pPr>
      <w:r>
        <w:t xml:space="preserve">2. Website Changes Made This Session</w:t>
      </w:r>
    </w:p>
    <w:p>
      <w:pPr>
        <w:spacing w:after="160" w:line="276"/>
      </w:pPr>
      <w:r>
        <w:t xml:space="preserve">These are already written into your local repo (C:\Tools\DFL\dfeal-health). They are not yet committed or pushed — nothing has gone live. Review them, then push when you're ready.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700"/>
        <w:gridCol w:w="2460"/>
      </w:tblGrid>
      <w:tr>
        <w:trPr>
          <w:tblHeader/>
        </w:trPr>
        <w:tc>
          <w:tcPr>
            <w:tcW w:type="dxa" w:w="2200"/>
            <w:shd w:fill="1F3864" w:val="clear"/>
            <w:tcMar>
              <w:top w:type="dxa" w:w="80"/>
              <w:left w:type="dxa" w:w="100"/>
              <w:bottom w:type="dxa" w:w="80"/>
              <w:right w:type="dxa" w:w="100"/>
            </w:tcMar>
          </w:tcPr>
          <w:p>
            <w:pPr>
              <w:jc w:val="left"/>
            </w:pPr>
            <w:r>
              <w:rPr>
                <w:b/>
                <w:bCs/>
                <w:color w:val="FFFFFF"/>
                <w:sz w:val="18"/>
                <w:szCs w:val="18"/>
              </w:rPr>
              <w:t xml:space="preserve">File</w:t>
            </w:r>
          </w:p>
        </w:tc>
        <w:tc>
          <w:tcPr>
            <w:tcW w:type="dxa" w:w="4700"/>
            <w:shd w:fill="1F3864" w:val="clear"/>
            <w:tcMar>
              <w:top w:type="dxa" w:w="80"/>
              <w:left w:type="dxa" w:w="100"/>
              <w:bottom w:type="dxa" w:w="80"/>
              <w:right w:type="dxa" w:w="100"/>
            </w:tcMar>
          </w:tcPr>
          <w:p>
            <w:pPr>
              <w:jc w:val="left"/>
            </w:pPr>
            <w:r>
              <w:rPr>
                <w:b/>
                <w:bCs/>
                <w:color w:val="FFFFFF"/>
                <w:sz w:val="18"/>
                <w:szCs w:val="18"/>
              </w:rPr>
              <w:t xml:space="preserve">Change</w:t>
            </w:r>
          </w:p>
        </w:tc>
        <w:tc>
          <w:tcPr>
            <w:tcW w:type="dxa" w:w="2460"/>
            <w:shd w:fill="1F3864" w:val="clear"/>
            <w:tcMar>
              <w:top w:type="dxa" w:w="80"/>
              <w:left w:type="dxa" w:w="100"/>
              <w:bottom w:type="dxa" w:w="80"/>
              <w:right w:type="dxa" w:w="100"/>
            </w:tcMar>
          </w:tcPr>
          <w:p>
            <w:pPr>
              <w:jc w:val="left"/>
            </w:pPr>
            <w:r>
              <w:rPr>
                <w:b/>
                <w:bCs/>
                <w:color w:val="FFFFFF"/>
                <w:sz w:val="18"/>
                <w:szCs w:val="18"/>
              </w:rPr>
              <w:t xml:space="preserve">Addresses</w:t>
            </w:r>
          </w:p>
        </w:tc>
      </w:tr>
      <w:tr>
        <w:tc>
          <w:tcPr>
            <w:tcW w:type="dxa" w:w="2200"/>
            <w:shd w:fill="F2F2F2" w:val="clear"/>
            <w:tcMar>
              <w:top w:type="dxa" w:w="80"/>
              <w:left w:type="dxa" w:w="100"/>
              <w:bottom w:type="dxa" w:w="80"/>
              <w:right w:type="dxa" w:w="100"/>
            </w:tcMar>
          </w:tcPr>
          <w:p>
            <w:pPr>
              <w:jc w:val="left"/>
            </w:pPr>
            <w:r>
              <w:rPr>
                <w:b w:val="false"/>
                <w:bCs w:val="false"/>
                <w:color w:val="000000"/>
                <w:sz w:val="17"/>
                <w:szCs w:val="17"/>
              </w:rPr>
              <w:t xml:space="preserve">start.html (new)</w:t>
            </w:r>
          </w:p>
        </w:tc>
        <w:tc>
          <w:tcPr>
            <w:tcW w:type="dxa" w:w="4700"/>
            <w:shd w:fill="F2F2F2" w:val="clear"/>
            <w:tcMar>
              <w:top w:type="dxa" w:w="80"/>
              <w:left w:type="dxa" w:w="100"/>
              <w:bottom w:type="dxa" w:w="80"/>
              <w:right w:type="dxa" w:w="100"/>
            </w:tcMar>
          </w:tcPr>
          <w:p>
            <w:pPr>
              <w:jc w:val="left"/>
            </w:pPr>
            <w:r>
              <w:rPr>
                <w:b w:val="false"/>
                <w:bCs w:val="false"/>
                <w:color w:val="000000"/>
                <w:sz w:val="17"/>
                <w:szCs w:val="17"/>
              </w:rPr>
              <w:t xml:space="preserve">Standalone intake landing page — full form, no scrolling required, same field names and webhook as the homepage form so Zapier mapping is unaffected.</w:t>
            </w:r>
          </w:p>
        </w:tc>
        <w:tc>
          <w:tcPr>
            <w:tcW w:type="dxa" w:w="2460"/>
            <w:shd w:fill="F2F2F2" w:val="clear"/>
            <w:tcMar>
              <w:top w:type="dxa" w:w="80"/>
              <w:left w:type="dxa" w:w="100"/>
              <w:bottom w:type="dxa" w:w="80"/>
              <w:right w:type="dxa" w:w="100"/>
            </w:tcMar>
          </w:tcPr>
          <w:p>
            <w:pPr>
              <w:jc w:val="left"/>
            </w:pPr>
            <w:r>
              <w:rPr>
                <w:b w:val="false"/>
                <w:bCs w:val="false"/>
                <w:color w:val="000000"/>
                <w:sz w:val="17"/>
                <w:szCs w:val="17"/>
              </w:rPr>
              <w:t xml:space="preserve">Issue #6</w:t>
            </w:r>
          </w:p>
        </w:tc>
      </w:tr>
      <w:tr>
        <w:tc>
          <w:tcPr>
            <w:tcW w:type="dxa" w:w="2200"/>
            <w:shd w:fill="FFFFFF" w:val="clear"/>
            <w:tcMar>
              <w:top w:type="dxa" w:w="80"/>
              <w:left w:type="dxa" w:w="100"/>
              <w:bottom w:type="dxa" w:w="80"/>
              <w:right w:type="dxa" w:w="100"/>
            </w:tcMar>
          </w:tcPr>
          <w:p>
            <w:pPr>
              <w:jc w:val="left"/>
            </w:pPr>
            <w:r>
              <w:rPr>
                <w:b w:val="false"/>
                <w:bCs w:val="false"/>
                <w:color w:val="000000"/>
                <w:sz w:val="17"/>
                <w:szCs w:val="17"/>
              </w:rPr>
              <w:t xml:space="preserve">index.html</w:t>
            </w:r>
          </w:p>
        </w:tc>
        <w:tc>
          <w:tcPr>
            <w:tcW w:type="dxa" w:w="4700"/>
            <w:shd w:fill="FFFFFF" w:val="clear"/>
            <w:tcMar>
              <w:top w:type="dxa" w:w="80"/>
              <w:left w:type="dxa" w:w="100"/>
              <w:bottom w:type="dxa" w:w="80"/>
              <w:right w:type="dxa" w:w="100"/>
            </w:tcMar>
          </w:tcPr>
          <w:p>
            <w:pPr>
              <w:jc w:val="left"/>
            </w:pPr>
            <w:r>
              <w:rPr>
                <w:b w:val="false"/>
                <w:bCs w:val="false"/>
                <w:color w:val="000000"/>
                <w:sz w:val="17"/>
                <w:szCs w:val="17"/>
              </w:rPr>
              <w:t xml:space="preserve">Replaced the embedded footer-area form with a compact CTA card linking to /start.html. Tier-selector modal now hands the chosen tier to /start.html via a URL param instead of a hidden field on a form that no longer exists there.</w:t>
            </w:r>
          </w:p>
        </w:tc>
        <w:tc>
          <w:tcPr>
            <w:tcW w:type="dxa" w:w="2460"/>
            <w:shd w:fill="FFFFFF" w:val="clear"/>
            <w:tcMar>
              <w:top w:type="dxa" w:w="80"/>
              <w:left w:type="dxa" w:w="100"/>
              <w:bottom w:type="dxa" w:w="80"/>
              <w:right w:type="dxa" w:w="100"/>
            </w:tcMar>
          </w:tcPr>
          <w:p>
            <w:pPr>
              <w:jc w:val="left"/>
            </w:pPr>
            <w:r>
              <w:rPr>
                <w:b w:val="false"/>
                <w:bCs w:val="false"/>
                <w:color w:val="000000"/>
                <w:sz w:val="17"/>
                <w:szCs w:val="17"/>
              </w:rPr>
              <w:t xml:space="preserve">Issue #6</w:t>
            </w:r>
          </w:p>
        </w:tc>
      </w:tr>
      <w:tr>
        <w:tc>
          <w:tcPr>
            <w:tcW w:type="dxa" w:w="2200"/>
            <w:shd w:fill="F2F2F2" w:val="clear"/>
            <w:tcMar>
              <w:top w:type="dxa" w:w="80"/>
              <w:left w:type="dxa" w:w="100"/>
              <w:bottom w:type="dxa" w:w="80"/>
              <w:right w:type="dxa" w:w="100"/>
            </w:tcMar>
          </w:tcPr>
          <w:p>
            <w:pPr>
              <w:jc w:val="left"/>
            </w:pPr>
            <w:r>
              <w:rPr>
                <w:b w:val="false"/>
                <w:bCs w:val="false"/>
                <w:color w:val="000000"/>
                <w:sz w:val="17"/>
                <w:szCs w:val="17"/>
              </w:rPr>
              <w:t xml:space="preserve">forms/pre-call.html</w:t>
            </w:r>
          </w:p>
        </w:tc>
        <w:tc>
          <w:tcPr>
            <w:tcW w:type="dxa" w:w="4700"/>
            <w:shd w:fill="F2F2F2" w:val="clear"/>
            <w:tcMar>
              <w:top w:type="dxa" w:w="80"/>
              <w:left w:type="dxa" w:w="100"/>
              <w:bottom w:type="dxa" w:w="80"/>
              <w:right w:type="dxa" w:w="100"/>
            </w:tcMar>
          </w:tcPr>
          <w:p>
            <w:pPr>
              <w:jc w:val="left"/>
            </w:pPr>
            <w:r>
              <w:rPr>
                <w:b w:val="false"/>
                <w:bCs w:val="false"/>
                <w:color w:val="000000"/>
                <w:sz w:val="17"/>
                <w:szCs w:val="17"/>
              </w:rPr>
              <w:t xml:space="preserve">Added ?org=&amp;email= URL-param pre-fill (matching the pattern already used on the 4 assessment forms), a client-identity banner, a client-side timestamp fallback field, and payload key aliasing (organization_name/email alongside org_name/contact_email) so the receiving Zap step finds a populated value regardless of which field-name convention its mapping uses.</w:t>
            </w:r>
          </w:p>
        </w:tc>
        <w:tc>
          <w:tcPr>
            <w:tcW w:type="dxa" w:w="2460"/>
            <w:shd w:fill="F2F2F2" w:val="clear"/>
            <w:tcMar>
              <w:top w:type="dxa" w:w="80"/>
              <w:left w:type="dxa" w:w="100"/>
              <w:bottom w:type="dxa" w:w="80"/>
              <w:right w:type="dxa" w:w="100"/>
            </w:tcMar>
          </w:tcPr>
          <w:p>
            <w:pPr>
              <w:jc w:val="left"/>
            </w:pPr>
            <w:r>
              <w:rPr>
                <w:b w:val="false"/>
                <w:bCs w:val="false"/>
                <w:color w:val="000000"/>
                <w:sz w:val="17"/>
                <w:szCs w:val="17"/>
              </w:rPr>
              <w:t xml:space="preserve">Issue #2</w:t>
            </w:r>
          </w:p>
        </w:tc>
      </w:tr>
    </w:tbl>
    <w:p>
      <w:pPr>
        <w:spacing w:after="160" w:line="276"/>
      </w:pPr>
      <w:r>
        <w:t xml:space="preserve"/>
      </w:r>
    </w:p>
    <w:p>
      <w:pPr>
        <w:pStyle w:val="Heading2"/>
        <w:spacing w:after="120" w:before="260"/>
      </w:pPr>
      <w:r>
        <w:t xml:space="preserve">2.1 — Review the changes</w:t>
      </w:r>
    </w:p>
    <w:p>
      <w:pPr>
        <w:pBdr>
          <w:top w:val="single" w:color="CCCCCC" w:sz="4" w:space="4"/>
          <w:bottom w:val="single" w:color="CCCCCC" w:sz="4" w:space="4"/>
          <w:left w:val="single" w:color="CCCCCC" w:sz="4" w:space="4"/>
          <w:right w:val="single" w:color="CCCCCC" w:sz="4" w:space="4"/>
        </w:pBdr>
        <w:shd w:fill="F2F2F2" w:val="clear"/>
        <w:spacing w:after="100" w:before="60"/>
      </w:pPr>
      <w:r>
        <w:rPr>
          <w:rFonts w:ascii="Consolas" w:cs="Consolas" w:eastAsia="Consolas" w:hAnsi="Consolas"/>
          <w:color w:val="1F3864"/>
          <w:sz w:val="18"/>
          <w:szCs w:val="18"/>
        </w:rPr>
        <w:t xml:space="preserve">cd C:\Tools\DFL\dfeal-health
git status
git diff index.html forms/pre-call.html
git diff --stat</w:t>
      </w:r>
    </w:p>
    <w:p>
      <w:pPr>
        <w:spacing w:after="160" w:line="276"/>
      </w:pPr>
      <w:r>
        <w:t xml:space="preserve">Open start.html, index.html, and forms/pre-call.html in a browser locally (or via Netlify's deploy preview) before pushing. Submit a test entry on each and confirm the success state displays and a row lands in the matching sheet.</w:t>
      </w:r>
    </w:p>
    <w:p>
      <w:pPr>
        <w:pStyle w:val="Heading2"/>
        <w:spacing w:after="120" w:before="260"/>
      </w:pPr>
      <w:r>
        <w:t xml:space="preserve">2.2 — Deploy when ready</w:t>
      </w:r>
    </w:p>
    <w:p>
      <w:pPr>
        <w:pBdr>
          <w:top w:val="single" w:color="CCCCCC" w:sz="4" w:space="4"/>
          <w:bottom w:val="single" w:color="CCCCCC" w:sz="4" w:space="4"/>
          <w:left w:val="single" w:color="CCCCCC" w:sz="4" w:space="4"/>
          <w:right w:val="single" w:color="CCCCCC" w:sz="4" w:space="4"/>
        </w:pBdr>
        <w:shd w:fill="F2F2F2" w:val="clear"/>
        <w:spacing w:after="100" w:before="60"/>
      </w:pPr>
      <w:r>
        <w:rPr>
          <w:rFonts w:ascii="Consolas" w:cs="Consolas" w:eastAsia="Consolas" w:hAnsi="Consolas"/>
          <w:color w:val="1F3864"/>
          <w:sz w:val="18"/>
          <w:szCs w:val="18"/>
        </w:rPr>
        <w:t xml:space="preserve">git add start.html index.html forms/pre-call.html
git commit -m "Dedicated intake page, pre-call field capture fix, homepage CTA slimdown"
git push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FF7DC" w:val="clear"/>
            <w:tcMar>
              <w:top w:type="dxa" w:w="140"/>
              <w:left w:type="dxa" w:w="200"/>
              <w:bottom w:type="dxa" w:w="140"/>
              <w:right w:type="dxa" w:w="200"/>
            </w:tcMar>
          </w:tcPr>
          <w:p>
            <w:pPr>
              <w:spacing w:after="60"/>
            </w:pPr>
            <w:r>
              <w:rPr>
                <w:b/>
                <w:bCs/>
                <w:color w:val="1F3864"/>
                <w:sz w:val="20"/>
                <w:szCs w:val="20"/>
              </w:rPr>
              <w:t xml:space="preserve">Note on the pending zapier-proxy.js diff</w:t>
            </w:r>
          </w:p>
          <w:p>
            <w:pPr>
              <w:spacing w:after="0"/>
            </w:pPr>
            <w:r>
              <w:rPr>
                <w:color w:val="404040"/>
                <w:sz w:val="19"/>
                <w:szCs w:val="19"/>
              </w:rPr>
              <w:t xml:space="preserve">Your repo already had an uncommitted change to netlify/functions/zapier-proxy.js before this session (a whitespace/line-ending diff, not a logic change I made). Review it separately — don't bundle it into the commit above without checking it first.</w:t>
            </w:r>
          </w:p>
        </w:tc>
      </w:tr>
    </w:tbl>
    <w:p>
      <w:pPr>
        <w:spacing w:after="160" w:line="276"/>
      </w:pPr>
      <w:r>
        <w:t xml:space="preserve"/>
      </w:r>
    </w:p>
    <w:p>
      <w:pPr>
        <w:pStyle w:val="Heading2"/>
        <w:spacing w:after="120" w:before="260"/>
      </w:pPr>
      <w:r>
        <w:t xml:space="preserve">2.3 — After pushing</w:t>
      </w:r>
    </w:p>
    <w:p>
      <w:pPr>
        <w:pStyle w:val="ListParagraph"/>
        <w:numPr>
          <w:ilvl w:val="0"/>
          <w:numId w:val="3"/>
        </w:numPr>
        <w:spacing w:after="80" w:line="276"/>
      </w:pPr>
      <w:r>
        <w:t xml:space="preserve">Update your marketing links, QR codes, and email signatures to point to auditmd.xyz/start.html instead of auditmd.xyz/#contact.</w:t>
      </w:r>
    </w:p>
    <w:p>
      <w:pPr>
        <w:pStyle w:val="ListParagraph"/>
        <w:numPr>
          <w:ilvl w:val="0"/>
          <w:numId w:val="3"/>
        </w:numPr>
        <w:spacing w:after="80" w:line="276"/>
      </w:pPr>
      <w:r>
        <w:t xml:space="preserve">The homepage's “Start Audit” nav button and hero CTA still point to #contact — that's fine, they now scroll to a short CTA card with a button into /start.html, so no nav changes were required.</w:t>
      </w:r>
    </w:p>
    <w:p>
      <w:pPr>
        <w:pStyle w:val="Heading1"/>
        <w:pBdr>
          <w:bottom w:val="single" w:color="2E74B5" w:sz="8" w:space="4"/>
        </w:pBdr>
        <w:spacing w:after="160" w:before="360"/>
      </w:pPr>
      <w:r>
        <w:t xml:space="preserve">3. Phase-by-Phase Zapier / Sheets / Workspace Steps</w:t>
      </w:r>
    </w:p>
    <w:p>
      <w:pPr>
        <w:spacing w:after="160" w:line="276"/>
      </w:pPr>
      <w:r>
        <w:t xml:space="preserve">Numbered to match the Blueprint's Section 6 roadmap. Each phase lists the manual UI steps; where a Zapier Copilot prompt can do the heavy lifting, it's referenced by name — the literal prompt text is in the Prompts Pack.</w:t>
      </w:r>
    </w:p>
    <w:p>
      <w:pPr>
        <w:pStyle w:val="Heading2"/>
        <w:spacing w:after="120" w:before="260"/>
      </w:pPr>
      <w:r>
        <w:t xml:space="preserve">Phase 1 — Bug Fixes (this week)</w:t>
      </w:r>
    </w:p>
    <w:p>
      <w:pPr>
        <w:pStyle w:val="ListParagraph"/>
        <w:numPr>
          <w:ilvl w:val="0"/>
          <w:numId w:val="2"/>
        </w:numPr>
        <w:spacing w:after="100" w:line="276"/>
      </w:pPr>
      <w:r>
        <w:t xml:space="preserve">ZAP 7 (Governance) date field: Open the Zap → Step 6 “Mark Governance Complete” → change the Column X field mapping from {{zap_meta_human_now}} to the Step 5 Formatter output. Use Prompts Pack → Prompt 1.</w:t>
      </w:r>
    </w:p>
    <w:p>
      <w:pPr>
        <w:pStyle w:val="ListParagraph"/>
        <w:numPr>
          <w:ilvl w:val="0"/>
          <w:numId w:val="2"/>
        </w:numPr>
        <w:spacing w:after="100" w:line="276"/>
      </w:pPr>
      <w:r>
        <w:t xml:space="preserve">ZAP 12 stale mapping: Open Step 5 → Run Test with a real *_COPY filename to generate a fresh sample → open Step 6 (Move File) → clear the stale “Destination Folder Id” chip → re-map it to Step 5's fresh output → re-test with a real file. Use Prompts Pack → Prompt 2.</w:t>
      </w:r>
    </w:p>
    <w:p>
      <w:pPr>
        <w:pStyle w:val="ListParagraph"/>
        <w:numPr>
          <w:ilvl w:val="0"/>
          <w:numId w:val="2"/>
        </w:numPr>
        <w:spacing w:after="100" w:line="276"/>
      </w:pPr>
      <w:r>
        <w:t xml:space="preserve">ZAP 10 test mode: When ready to accept live payments, open Step 1 → turn off test_mode_data → run one small real Stripe charge to confirm the full chain still fires correctly.</w:t>
      </w:r>
    </w:p>
    <w:p>
      <w:pPr>
        <w:pStyle w:val="ListParagraph"/>
        <w:numPr>
          <w:ilvl w:val="0"/>
          <w:numId w:val="2"/>
        </w:numPr>
        <w:spacing w:after="100" w:line="276"/>
      </w:pPr>
      <w:r>
        <w:t xml:space="preserve">Website fixes: see Section 2 above.</w:t>
      </w:r>
    </w:p>
    <w:p>
      <w:pPr>
        <w:pStyle w:val="Heading2"/>
        <w:spacing w:after="120" w:before="260"/>
      </w:pPr>
      <w:r>
        <w:t xml:space="preserve">Phase 2 — Deliverability &amp; Sequencing (next)</w:t>
      </w:r>
    </w:p>
    <w:p>
      <w:pPr>
        <w:pStyle w:val="ListParagraph"/>
        <w:numPr>
          <w:ilvl w:val="0"/>
          <w:numId w:val="2"/>
        </w:numPr>
        <w:spacing w:after="100" w:line="276"/>
      </w:pPr>
      <w:r>
        <w:t xml:space="preserve">Google Workspace Admin → Apps → Google Workspace → Gmail → Authenticate email: enable and verify SPF, DKIM, and DMARC for auditmd.xyz. Start DMARC at p=none to monitor for two weeks, then move to p=quarantine.</w:t>
      </w:r>
    </w:p>
    <w:p>
      <w:pPr>
        <w:pStyle w:val="ListParagraph"/>
        <w:numPr>
          <w:ilvl w:val="0"/>
          <w:numId w:val="2"/>
        </w:numPr>
        <w:spacing w:after="100" w:line="276"/>
      </w:pPr>
      <w:r>
        <w:t xml:space="preserve">Register support@auditmd.xyz and intake@auditmd.xyz with Google Postmaster Tools (postmaster.google.com) — add the domain, verify via the existing DKIM TXT record.</w:t>
      </w:r>
    </w:p>
    <w:p>
      <w:pPr>
        <w:pStyle w:val="ListParagraph"/>
        <w:numPr>
          <w:ilvl w:val="0"/>
          <w:numId w:val="2"/>
        </w:numPr>
        <w:spacing w:after="100" w:line="276"/>
      </w:pPr>
      <w:r>
        <w:t xml:space="preserve">Edit every client-facing email subject line across ZAP 1, ZAP 4, ZAP 5, ZAP 7, ZAP 13A, ZAP 13B, ZAP 16 to remove emoji/brackets. Keep the internal-only staff-notification subjects as-is if you like the visual scan. Use Prompts Pack → Prompt 3.</w:t>
      </w:r>
    </w:p>
    <w:p>
      <w:pPr>
        <w:pStyle w:val="ListParagraph"/>
        <w:numPr>
          <w:ilvl w:val="0"/>
          <w:numId w:val="2"/>
        </w:numPr>
        <w:spacing w:after="100" w:line="276"/>
      </w:pPr>
      <w:r>
        <w:t xml:space="preserve">Merge the Intake + Pre-Call flow: confirm your Calendly plan includes webhooks (Standard/Teams+), then redesign the intake→booking sequence per Blueprint Section 3.3. This is the largest change in this phase — plan a half-day.</w:t>
      </w:r>
    </w:p>
    <w:p>
      <w:pPr>
        <w:pStyle w:val="ListParagraph"/>
        <w:numPr>
          <w:ilvl w:val="0"/>
          <w:numId w:val="2"/>
        </w:numPr>
        <w:spacing w:after="100" w:line="276"/>
      </w:pPr>
      <w:r>
        <w:t xml:space="preserve">Add the All_Assessments_Complete formula directly in PIPELINE column R (no Zap needed): =IF(AND(D2&lt;&gt;"",E2&lt;&gt;"",O2&lt;&gt;"",P2&lt;&gt;"",Q2&lt;&gt;""),TRUE,FALSE) — adjust column letters to your live sheet.</w:t>
      </w:r>
    </w:p>
    <w:p>
      <w:pPr>
        <w:pStyle w:val="Heading2"/>
        <w:spacing w:after="120" w:before="260"/>
      </w:pPr>
      <w:r>
        <w:t xml:space="preserve">Phase 3 — Reliability Layer</w:t>
      </w:r>
    </w:p>
    <w:p>
      <w:pPr>
        <w:pStyle w:val="ListParagraph"/>
        <w:numPr>
          <w:ilvl w:val="0"/>
          <w:numId w:val="2"/>
        </w:numPr>
        <w:spacing w:after="100" w:line="276"/>
      </w:pPr>
      <w:r>
        <w:t xml:space="preserve">Add an idempotency guard column + Filter step to ZAP 3, ZAP 7 (governance), and ZAP 11, mirroring ZAP 17's existing Calendly_Sent pattern. Use Prompts Pack → Prompt 4.</w:t>
      </w:r>
    </w:p>
    <w:p>
      <w:pPr>
        <w:pStyle w:val="ListParagraph"/>
        <w:numPr>
          <w:ilvl w:val="0"/>
          <w:numId w:val="2"/>
        </w:numPr>
        <w:spacing w:after="100" w:line="276"/>
      </w:pPr>
      <w:r>
        <w:t xml:space="preserve">Build the generalized Nudge Engine to replace ZAP 16. Use Prompts Pack → Prompt 5.</w:t>
      </w:r>
    </w:p>
    <w:p>
      <w:pPr>
        <w:pStyle w:val="Heading2"/>
        <w:spacing w:after="120" w:before="260"/>
      </w:pPr>
      <w:r>
        <w:t xml:space="preserve">Phase 4 — Visibility</w:t>
      </w:r>
    </w:p>
    <w:p>
      <w:pPr>
        <w:pStyle w:val="ListParagraph"/>
        <w:numPr>
          <w:ilvl w:val="0"/>
          <w:numId w:val="2"/>
        </w:numPr>
        <w:spacing w:after="100" w:line="276"/>
      </w:pPr>
      <w:r>
        <w:t xml:space="preserve">Create the AUTOMATION_LOG tab (columns: Timestamp | Zap Name | Client | Action | Status | Notes).</w:t>
      </w:r>
    </w:p>
    <w:p>
      <w:pPr>
        <w:pStyle w:val="ListParagraph"/>
        <w:numPr>
          <w:ilvl w:val="0"/>
          <w:numId w:val="2"/>
        </w:numPr>
        <w:spacing w:after="100" w:line="276"/>
      </w:pPr>
      <w:r>
        <w:t xml:space="preserve">Add one “Create Spreadsheet Row” action as the last step of every published Zap. Use Prompts Pack → Prompt 6 for the field-mapping pattern to repeat across each Zap.</w:t>
      </w:r>
    </w:p>
    <w:p>
      <w:pPr>
        <w:pStyle w:val="ListParagraph"/>
        <w:numPr>
          <w:ilvl w:val="0"/>
          <w:numId w:val="2"/>
        </w:numPr>
        <w:spacing w:after="100" w:line="276"/>
      </w:pPr>
      <w:r>
        <w:t xml:space="preserve">In each Zap's settings, turn on “Notify me immediately” under Zap error notifications (currently only confirmed on a subset of Zaps).</w:t>
      </w:r>
    </w:p>
    <w:p>
      <w:pPr>
        <w:pStyle w:val="Heading2"/>
        <w:spacing w:after="120" w:before="260"/>
      </w:pPr>
      <w:r>
        <w:t xml:space="preserve">Phase 5 — Sheet Consolidation</w:t>
      </w:r>
    </w:p>
    <w:p>
      <w:pPr>
        <w:pStyle w:val="ListParagraph"/>
        <w:numPr>
          <w:ilvl w:val="0"/>
          <w:numId w:val="2"/>
        </w:numPr>
        <w:spacing w:after="100" w:line="276"/>
      </w:pPr>
      <w:r>
        <w:t xml:space="preserve">Convert ACTIVE CLIENTS' Zap-written columns to QUERY()/IMPORRANGE() formulas mirroring PIPELINE, keeping only true manual-entry columns (Discovery Call Date, Audit Start, Outcome) as direct input.</w:t>
      </w:r>
    </w:p>
    <w:p>
      <w:pPr>
        <w:pStyle w:val="ListParagraph"/>
        <w:numPr>
          <w:ilvl w:val="0"/>
          <w:numId w:val="2"/>
        </w:numPr>
        <w:spacing w:after="100" w:line="276"/>
      </w:pPr>
      <w:r>
        <w:t xml:space="preserve">Remove the now-redundant write steps from ZAP 3, ZAP 6A, ZAP 7, ZAP 11, ZAP 15, ZAP 19, ZAP 21 — do this one Zap at a time, testing after each removal.</w:t>
      </w:r>
    </w:p>
    <w:p>
      <w:pPr>
        <w:pStyle w:val="Heading2"/>
        <w:spacing w:after="120" w:before="260"/>
      </w:pPr>
      <w:r>
        <w:t xml:space="preserve">Phase 6 — Post-Call &amp; Feedback Loop</w:t>
      </w:r>
    </w:p>
    <w:p>
      <w:pPr>
        <w:pStyle w:val="ListParagraph"/>
        <w:numPr>
          <w:ilvl w:val="0"/>
          <w:numId w:val="2"/>
        </w:numPr>
        <w:spacing w:after="100" w:line="276"/>
      </w:pPr>
      <w:r>
        <w:t xml:space="preserve">Build ZAP 22 (Post-Discovery Kickoff). Use Prompts Pack → Prompt 7.</w:t>
      </w:r>
    </w:p>
    <w:p>
      <w:pPr>
        <w:pStyle w:val="ListParagraph"/>
        <w:numPr>
          <w:ilvl w:val="0"/>
          <w:numId w:val="2"/>
        </w:numPr>
        <w:spacing w:after="100" w:line="276"/>
      </w:pPr>
      <w:r>
        <w:t xml:space="preserve">Add the low-satisfaction service-recovery path to ZAP 13B. Use Prompts Pack → Prompt 8.</w:t>
      </w:r>
    </w:p>
    <w:p>
      <w:pPr>
        <w:pStyle w:val="Heading1"/>
        <w:pBdr>
          <w:bottom w:val="single" w:color="2E74B5" w:sz="8" w:space="4"/>
        </w:pBdr>
        <w:spacing w:after="160" w:before="360"/>
      </w:pPr>
      <w:r>
        <w:t xml:space="preserve">4. Testing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300"/>
        <w:gridCol w:w="4160"/>
      </w:tblGrid>
      <w:tr>
        <w:trPr>
          <w:tblHeader/>
        </w:trPr>
        <w:tc>
          <w:tcPr>
            <w:tcW w:type="dxa" w:w="900"/>
            <w:shd w:fill="1F3864" w:val="clear"/>
            <w:tcMar>
              <w:top w:type="dxa" w:w="80"/>
              <w:left w:type="dxa" w:w="100"/>
              <w:bottom w:type="dxa" w:w="80"/>
              <w:right w:type="dxa" w:w="100"/>
            </w:tcMar>
          </w:tcPr>
          <w:p>
            <w:pPr>
              <w:jc w:val="left"/>
            </w:pPr>
            <w:r>
              <w:rPr>
                <w:b/>
                <w:bCs/>
                <w:color w:val="FFFFFF"/>
                <w:sz w:val="18"/>
                <w:szCs w:val="18"/>
              </w:rPr>
              <w:t xml:space="preserve">Phase</w:t>
            </w:r>
          </w:p>
        </w:tc>
        <w:tc>
          <w:tcPr>
            <w:tcW w:type="dxa" w:w="4300"/>
            <w:shd w:fill="1F3864" w:val="clear"/>
            <w:tcMar>
              <w:top w:type="dxa" w:w="80"/>
              <w:left w:type="dxa" w:w="100"/>
              <w:bottom w:type="dxa" w:w="80"/>
              <w:right w:type="dxa" w:w="100"/>
            </w:tcMar>
          </w:tcPr>
          <w:p>
            <w:pPr>
              <w:jc w:val="left"/>
            </w:pPr>
            <w:r>
              <w:rPr>
                <w:b/>
                <w:bCs/>
                <w:color w:val="FFFFFF"/>
                <w:sz w:val="18"/>
                <w:szCs w:val="18"/>
              </w:rPr>
              <w:t xml:space="preserve">Test</w:t>
            </w:r>
          </w:p>
        </w:tc>
        <w:tc>
          <w:tcPr>
            <w:tcW w:type="dxa" w:w="4160"/>
            <w:shd w:fill="1F3864" w:val="clear"/>
            <w:tcMar>
              <w:top w:type="dxa" w:w="80"/>
              <w:left w:type="dxa" w:w="100"/>
              <w:bottom w:type="dxa" w:w="80"/>
              <w:right w:type="dxa" w:w="100"/>
            </w:tcMar>
          </w:tcPr>
          <w:p>
            <w:pPr>
              <w:jc w:val="left"/>
            </w:pPr>
            <w:r>
              <w:rPr>
                <w:b/>
                <w:bCs/>
                <w:color w:val="FFFFFF"/>
                <w:sz w:val="18"/>
                <w:szCs w:val="18"/>
              </w:rPr>
              <w:t xml:space="preserve">Pass Criteria</w:t>
            </w:r>
          </w:p>
        </w:tc>
      </w:tr>
      <w:tr>
        <w:tc>
          <w:tcPr>
            <w:tcW w:type="dxa" w:w="900"/>
            <w:shd w:fill="F2F2F2" w:val="clear"/>
            <w:tcMar>
              <w:top w:type="dxa" w:w="80"/>
              <w:left w:type="dxa" w:w="100"/>
              <w:bottom w:type="dxa" w:w="80"/>
              <w:right w:type="dxa" w:w="100"/>
            </w:tcMar>
          </w:tcPr>
          <w:p>
            <w:pPr>
              <w:jc w:val="left"/>
            </w:pPr>
            <w:r>
              <w:rPr>
                <w:b w:val="false"/>
                <w:bCs w:val="false"/>
                <w:color w:val="000000"/>
                <w:sz w:val="17"/>
                <w:szCs w:val="17"/>
              </w:rPr>
              <w:t xml:space="preserve">1</w:t>
            </w:r>
          </w:p>
        </w:tc>
        <w:tc>
          <w:tcPr>
            <w:tcW w:type="dxa" w:w="4300"/>
            <w:shd w:fill="F2F2F2" w:val="clear"/>
            <w:tcMar>
              <w:top w:type="dxa" w:w="80"/>
              <w:left w:type="dxa" w:w="100"/>
              <w:bottom w:type="dxa" w:w="80"/>
              <w:right w:type="dxa" w:w="100"/>
            </w:tcMar>
          </w:tcPr>
          <w:p>
            <w:pPr>
              <w:jc w:val="left"/>
            </w:pPr>
            <w:r>
              <w:rPr>
                <w:b w:val="false"/>
                <w:bCs w:val="false"/>
                <w:color w:val="000000"/>
                <w:sz w:val="17"/>
                <w:szCs w:val="17"/>
              </w:rPr>
              <w:t xml:space="preserve">Submit forms/pre-call.html with dummy org/email</w:t>
            </w:r>
          </w:p>
        </w:tc>
        <w:tc>
          <w:tcPr>
            <w:tcW w:type="dxa" w:w="4160"/>
            <w:shd w:fill="F2F2F2" w:val="clear"/>
            <w:tcMar>
              <w:top w:type="dxa" w:w="80"/>
              <w:left w:type="dxa" w:w="100"/>
              <w:bottom w:type="dxa" w:w="80"/>
              <w:right w:type="dxa" w:w="100"/>
            </w:tcMar>
          </w:tcPr>
          <w:p>
            <w:pPr>
              <w:jc w:val="left"/>
            </w:pPr>
            <w:r>
              <w:rPr>
                <w:b w:val="false"/>
                <w:bCs w:val="false"/>
                <w:color w:val="000000"/>
                <w:sz w:val="17"/>
                <w:szCs w:val="17"/>
              </w:rPr>
              <w:t xml:space="preserve">Row appears in PRE_CALL_RESPONSES with Timestamp, Email, Org Name all populated</w:t>
            </w:r>
          </w:p>
        </w:tc>
      </w:tr>
      <w:tr>
        <w:tc>
          <w:tcPr>
            <w:tcW w:type="dxa" w:w="900"/>
            <w:shd w:fill="FFFFFF" w:val="clear"/>
            <w:tcMar>
              <w:top w:type="dxa" w:w="80"/>
              <w:left w:type="dxa" w:w="100"/>
              <w:bottom w:type="dxa" w:w="80"/>
              <w:right w:type="dxa" w:w="100"/>
            </w:tcMar>
          </w:tcPr>
          <w:p>
            <w:pPr>
              <w:jc w:val="left"/>
            </w:pPr>
            <w:r>
              <w:rPr>
                <w:b w:val="false"/>
                <w:bCs w:val="false"/>
                <w:color w:val="000000"/>
                <w:sz w:val="17"/>
                <w:szCs w:val="17"/>
              </w:rPr>
              <w:t xml:space="preserve">1</w:t>
            </w:r>
          </w:p>
        </w:tc>
        <w:tc>
          <w:tcPr>
            <w:tcW w:type="dxa" w:w="4300"/>
            <w:shd w:fill="FFFFFF" w:val="clear"/>
            <w:tcMar>
              <w:top w:type="dxa" w:w="80"/>
              <w:left w:type="dxa" w:w="100"/>
              <w:bottom w:type="dxa" w:w="80"/>
              <w:right w:type="dxa" w:w="100"/>
            </w:tcMar>
          </w:tcPr>
          <w:p>
            <w:pPr>
              <w:jc w:val="left"/>
            </w:pPr>
            <w:r>
              <w:rPr>
                <w:b w:val="false"/>
                <w:bCs w:val="false"/>
                <w:color w:val="000000"/>
                <w:sz w:val="17"/>
                <w:szCs w:val="17"/>
              </w:rPr>
              <w:t xml:space="preserve">Upload a real *_COPY file to _Templates</w:t>
            </w:r>
          </w:p>
        </w:tc>
        <w:tc>
          <w:tcPr>
            <w:tcW w:type="dxa" w:w="4160"/>
            <w:shd w:fill="FFFFFF" w:val="clear"/>
            <w:tcMar>
              <w:top w:type="dxa" w:w="80"/>
              <w:left w:type="dxa" w:w="100"/>
              <w:bottom w:type="dxa" w:w="80"/>
              <w:right w:type="dxa" w:w="100"/>
            </w:tcMar>
          </w:tcPr>
          <w:p>
            <w:pPr>
              <w:jc w:val="left"/>
            </w:pPr>
            <w:r>
              <w:rPr>
                <w:b w:val="false"/>
                <w:bCs w:val="false"/>
                <w:color w:val="000000"/>
                <w:sz w:val="17"/>
                <w:szCs w:val="17"/>
              </w:rPr>
              <w:t xml:space="preserve">File lands in the correct client subfolder, not left in _Templates</w:t>
            </w:r>
          </w:p>
        </w:tc>
      </w:tr>
      <w:tr>
        <w:tc>
          <w:tcPr>
            <w:tcW w:type="dxa" w:w="900"/>
            <w:shd w:fill="F2F2F2" w:val="clear"/>
            <w:tcMar>
              <w:top w:type="dxa" w:w="80"/>
              <w:left w:type="dxa" w:w="100"/>
              <w:bottom w:type="dxa" w:w="80"/>
              <w:right w:type="dxa" w:w="100"/>
            </w:tcMar>
          </w:tcPr>
          <w:p>
            <w:pPr>
              <w:jc w:val="left"/>
            </w:pPr>
            <w:r>
              <w:rPr>
                <w:b w:val="false"/>
                <w:bCs w:val="false"/>
                <w:color w:val="000000"/>
                <w:sz w:val="17"/>
                <w:szCs w:val="17"/>
              </w:rPr>
              <w:t xml:space="preserve">2</w:t>
            </w:r>
          </w:p>
        </w:tc>
        <w:tc>
          <w:tcPr>
            <w:tcW w:type="dxa" w:w="4300"/>
            <w:shd w:fill="F2F2F2" w:val="clear"/>
            <w:tcMar>
              <w:top w:type="dxa" w:w="80"/>
              <w:left w:type="dxa" w:w="100"/>
              <w:bottom w:type="dxa" w:w="80"/>
              <w:right w:type="dxa" w:w="100"/>
            </w:tcMar>
          </w:tcPr>
          <w:p>
            <w:pPr>
              <w:jc w:val="left"/>
            </w:pPr>
            <w:r>
              <w:rPr>
                <w:b w:val="false"/>
                <w:bCs w:val="false"/>
                <w:color w:val="000000"/>
                <w:sz w:val="17"/>
                <w:szCs w:val="17"/>
              </w:rPr>
              <w:t xml:space="preserve">Send a test email to a personal Gmail/Outlook inbox</w:t>
            </w:r>
          </w:p>
        </w:tc>
        <w:tc>
          <w:tcPr>
            <w:tcW w:type="dxa" w:w="4160"/>
            <w:shd w:fill="F2F2F2" w:val="clear"/>
            <w:tcMar>
              <w:top w:type="dxa" w:w="80"/>
              <w:left w:type="dxa" w:w="100"/>
              <w:bottom w:type="dxa" w:w="80"/>
              <w:right w:type="dxa" w:w="100"/>
            </w:tcMar>
          </w:tcPr>
          <w:p>
            <w:pPr>
              <w:jc w:val="left"/>
            </w:pPr>
            <w:r>
              <w:rPr>
                <w:b w:val="false"/>
                <w:bCs w:val="false"/>
                <w:color w:val="000000"/>
                <w:sz w:val="17"/>
                <w:szCs w:val="17"/>
              </w:rPr>
              <w:t xml:space="preserve">Lands in Inbox, not Spam/Junk</w:t>
            </w:r>
          </w:p>
        </w:tc>
      </w:tr>
      <w:tr>
        <w:tc>
          <w:tcPr>
            <w:tcW w:type="dxa" w:w="900"/>
            <w:shd w:fill="FFFFFF" w:val="clear"/>
            <w:tcMar>
              <w:top w:type="dxa" w:w="80"/>
              <w:left w:type="dxa" w:w="100"/>
              <w:bottom w:type="dxa" w:w="80"/>
              <w:right w:type="dxa" w:w="100"/>
            </w:tcMar>
          </w:tcPr>
          <w:p>
            <w:pPr>
              <w:jc w:val="left"/>
            </w:pPr>
            <w:r>
              <w:rPr>
                <w:b w:val="false"/>
                <w:bCs w:val="false"/>
                <w:color w:val="000000"/>
                <w:sz w:val="17"/>
                <w:szCs w:val="17"/>
              </w:rPr>
              <w:t xml:space="preserve">2</w:t>
            </w:r>
          </w:p>
        </w:tc>
        <w:tc>
          <w:tcPr>
            <w:tcW w:type="dxa" w:w="4300"/>
            <w:shd w:fill="FFFFFF" w:val="clear"/>
            <w:tcMar>
              <w:top w:type="dxa" w:w="80"/>
              <w:left w:type="dxa" w:w="100"/>
              <w:bottom w:type="dxa" w:w="80"/>
              <w:right w:type="dxa" w:w="100"/>
            </w:tcMar>
          </w:tcPr>
          <w:p>
            <w:pPr>
              <w:jc w:val="left"/>
            </w:pPr>
            <w:r>
              <w:rPr>
                <w:b w:val="false"/>
                <w:bCs w:val="false"/>
                <w:color w:val="000000"/>
                <w:sz w:val="17"/>
                <w:szCs w:val="17"/>
              </w:rPr>
              <w:t xml:space="preserve">Submit the merged intake form</w:t>
            </w:r>
          </w:p>
        </w:tc>
        <w:tc>
          <w:tcPr>
            <w:tcW w:type="dxa" w:w="4160"/>
            <w:shd w:fill="FFFFFF" w:val="clear"/>
            <w:tcMar>
              <w:top w:type="dxa" w:w="80"/>
              <w:left w:type="dxa" w:w="100"/>
              <w:bottom w:type="dxa" w:w="80"/>
              <w:right w:type="dxa" w:w="100"/>
            </w:tcMar>
          </w:tcPr>
          <w:p>
            <w:pPr>
              <w:jc w:val="left"/>
            </w:pPr>
            <w:r>
              <w:rPr>
                <w:b w:val="false"/>
                <w:bCs w:val="false"/>
                <w:color w:val="000000"/>
                <w:sz w:val="17"/>
                <w:szCs w:val="17"/>
              </w:rPr>
              <w:t xml:space="preserve">Redirects to Calendly with name/email prefilled</w:t>
            </w:r>
          </w:p>
        </w:tc>
      </w:tr>
      <w:tr>
        <w:tc>
          <w:tcPr>
            <w:tcW w:type="dxa" w:w="900"/>
            <w:shd w:fill="F2F2F2" w:val="clear"/>
            <w:tcMar>
              <w:top w:type="dxa" w:w="80"/>
              <w:left w:type="dxa" w:w="100"/>
              <w:bottom w:type="dxa" w:w="80"/>
              <w:right w:type="dxa" w:w="100"/>
            </w:tcMar>
          </w:tcPr>
          <w:p>
            <w:pPr>
              <w:jc w:val="left"/>
            </w:pPr>
            <w:r>
              <w:rPr>
                <w:b w:val="false"/>
                <w:bCs w:val="false"/>
                <w:color w:val="000000"/>
                <w:sz w:val="17"/>
                <w:szCs w:val="17"/>
              </w:rPr>
              <w:t xml:space="preserve">2</w:t>
            </w:r>
          </w:p>
        </w:tc>
        <w:tc>
          <w:tcPr>
            <w:tcW w:type="dxa" w:w="4300"/>
            <w:shd w:fill="F2F2F2" w:val="clear"/>
            <w:tcMar>
              <w:top w:type="dxa" w:w="80"/>
              <w:left w:type="dxa" w:w="100"/>
              <w:bottom w:type="dxa" w:w="80"/>
              <w:right w:type="dxa" w:w="100"/>
            </w:tcMar>
          </w:tcPr>
          <w:p>
            <w:pPr>
              <w:jc w:val="left"/>
            </w:pPr>
            <w:r>
              <w:rPr>
                <w:b w:val="false"/>
                <w:bCs w:val="false"/>
                <w:color w:val="000000"/>
                <w:sz w:val="17"/>
                <w:szCs w:val="17"/>
              </w:rPr>
              <w:t xml:space="preserve">Book a test Calendly slot</w:t>
            </w:r>
          </w:p>
        </w:tc>
        <w:tc>
          <w:tcPr>
            <w:tcW w:type="dxa" w:w="4160"/>
            <w:shd w:fill="F2F2F2" w:val="clear"/>
            <w:tcMar>
              <w:top w:type="dxa" w:w="80"/>
              <w:left w:type="dxa" w:w="100"/>
              <w:bottom w:type="dxa" w:w="80"/>
              <w:right w:type="dxa" w:w="100"/>
            </w:tcMar>
          </w:tcPr>
          <w:p>
            <w:pPr>
              <w:jc w:val="left"/>
            </w:pPr>
            <w:r>
              <w:rPr>
                <w:b w:val="false"/>
                <w:bCs w:val="false"/>
                <w:color w:val="000000"/>
                <w:sz w:val="17"/>
                <w:szCs w:val="17"/>
              </w:rPr>
              <w:t xml:space="preserve">All 5 assessment-form links arrive in one email within a minute</w:t>
            </w:r>
          </w:p>
        </w:tc>
      </w:tr>
      <w:tr>
        <w:tc>
          <w:tcPr>
            <w:tcW w:type="dxa" w:w="900"/>
            <w:shd w:fill="FFFFFF" w:val="clear"/>
            <w:tcMar>
              <w:top w:type="dxa" w:w="80"/>
              <w:left w:type="dxa" w:w="100"/>
              <w:bottom w:type="dxa" w:w="80"/>
              <w:right w:type="dxa" w:w="100"/>
            </w:tcMar>
          </w:tcPr>
          <w:p>
            <w:pPr>
              <w:jc w:val="left"/>
            </w:pPr>
            <w:r>
              <w:rPr>
                <w:b w:val="false"/>
                <w:bCs w:val="false"/>
                <w:color w:val="000000"/>
                <w:sz w:val="17"/>
                <w:szCs w:val="17"/>
              </w:rPr>
              <w:t xml:space="preserve">3</w:t>
            </w:r>
          </w:p>
        </w:tc>
        <w:tc>
          <w:tcPr>
            <w:tcW w:type="dxa" w:w="4300"/>
            <w:shd w:fill="FFFFFF" w:val="clear"/>
            <w:tcMar>
              <w:top w:type="dxa" w:w="80"/>
              <w:left w:type="dxa" w:w="100"/>
              <w:bottom w:type="dxa" w:w="80"/>
              <w:right w:type="dxa" w:w="100"/>
            </w:tcMar>
          </w:tcPr>
          <w:p>
            <w:pPr>
              <w:jc w:val="left"/>
            </w:pPr>
            <w:r>
              <w:rPr>
                <w:b w:val="false"/>
                <w:bCs w:val="false"/>
                <w:color w:val="000000"/>
                <w:sz w:val="17"/>
                <w:szCs w:val="17"/>
              </w:rPr>
              <w:t xml:space="preserve">Manually edit an unrelated PIPELINE cell for a client with Calendly_Sent already set</w:t>
            </w:r>
          </w:p>
        </w:tc>
        <w:tc>
          <w:tcPr>
            <w:tcW w:type="dxa" w:w="4160"/>
            <w:shd w:fill="FFFFFF" w:val="clear"/>
            <w:tcMar>
              <w:top w:type="dxa" w:w="80"/>
              <w:left w:type="dxa" w:w="100"/>
              <w:bottom w:type="dxa" w:w="80"/>
              <w:right w:type="dxa" w:w="100"/>
            </w:tcMar>
          </w:tcPr>
          <w:p>
            <w:pPr>
              <w:jc w:val="left"/>
            </w:pPr>
            <w:r>
              <w:rPr>
                <w:b w:val="false"/>
                <w:bCs w:val="false"/>
                <w:color w:val="000000"/>
                <w:sz w:val="17"/>
                <w:szCs w:val="17"/>
              </w:rPr>
              <w:t xml:space="preserve">No duplicate Calendly email is sent</w:t>
            </w:r>
          </w:p>
        </w:tc>
      </w:tr>
      <w:tr>
        <w:tc>
          <w:tcPr>
            <w:tcW w:type="dxa" w:w="900"/>
            <w:shd w:fill="F2F2F2" w:val="clear"/>
            <w:tcMar>
              <w:top w:type="dxa" w:w="80"/>
              <w:left w:type="dxa" w:w="100"/>
              <w:bottom w:type="dxa" w:w="80"/>
              <w:right w:type="dxa" w:w="100"/>
            </w:tcMar>
          </w:tcPr>
          <w:p>
            <w:pPr>
              <w:jc w:val="left"/>
            </w:pPr>
            <w:r>
              <w:rPr>
                <w:b w:val="false"/>
                <w:bCs w:val="false"/>
                <w:color w:val="000000"/>
                <w:sz w:val="17"/>
                <w:szCs w:val="17"/>
              </w:rPr>
              <w:t xml:space="preserve">3</w:t>
            </w:r>
          </w:p>
        </w:tc>
        <w:tc>
          <w:tcPr>
            <w:tcW w:type="dxa" w:w="4300"/>
            <w:shd w:fill="F2F2F2" w:val="clear"/>
            <w:tcMar>
              <w:top w:type="dxa" w:w="80"/>
              <w:left w:type="dxa" w:w="100"/>
              <w:bottom w:type="dxa" w:w="80"/>
              <w:right w:type="dxa" w:w="100"/>
            </w:tcMar>
          </w:tcPr>
          <w:p>
            <w:pPr>
              <w:jc w:val="left"/>
            </w:pPr>
            <w:r>
              <w:rPr>
                <w:b w:val="false"/>
                <w:bCs w:val="false"/>
                <w:color w:val="000000"/>
                <w:sz w:val="17"/>
                <w:szCs w:val="17"/>
              </w:rPr>
              <w:t xml:space="preserve">Leave a form incomplete for 24+ hours (test client)</w:t>
            </w:r>
          </w:p>
        </w:tc>
        <w:tc>
          <w:tcPr>
            <w:tcW w:type="dxa" w:w="4160"/>
            <w:shd w:fill="F2F2F2" w:val="clear"/>
            <w:tcMar>
              <w:top w:type="dxa" w:w="80"/>
              <w:left w:type="dxa" w:w="100"/>
              <w:bottom w:type="dxa" w:w="80"/>
              <w:right w:type="dxa" w:w="100"/>
            </w:tcMar>
          </w:tcPr>
          <w:p>
            <w:pPr>
              <w:jc w:val="left"/>
            </w:pPr>
            <w:r>
              <w:rPr>
                <w:b w:val="false"/>
                <w:bCs w:val="false"/>
                <w:color w:val="000000"/>
                <w:sz w:val="17"/>
                <w:szCs w:val="17"/>
              </w:rPr>
              <w:t xml:space="preserve">One combined reminder listing only outstanding forms, not five separate emails</w:t>
            </w:r>
          </w:p>
        </w:tc>
      </w:tr>
      <w:tr>
        <w:tc>
          <w:tcPr>
            <w:tcW w:type="dxa" w:w="900"/>
            <w:shd w:fill="FFFFFF" w:val="clear"/>
            <w:tcMar>
              <w:top w:type="dxa" w:w="80"/>
              <w:left w:type="dxa" w:w="100"/>
              <w:bottom w:type="dxa" w:w="80"/>
              <w:right w:type="dxa" w:w="100"/>
            </w:tcMar>
          </w:tcPr>
          <w:p>
            <w:pPr>
              <w:jc w:val="left"/>
            </w:pPr>
            <w:r>
              <w:rPr>
                <w:b w:val="false"/>
                <w:bCs w:val="false"/>
                <w:color w:val="000000"/>
                <w:sz w:val="17"/>
                <w:szCs w:val="17"/>
              </w:rPr>
              <w:t xml:space="preserve">4</w:t>
            </w:r>
          </w:p>
        </w:tc>
        <w:tc>
          <w:tcPr>
            <w:tcW w:type="dxa" w:w="4300"/>
            <w:shd w:fill="FFFFFF" w:val="clear"/>
            <w:tcMar>
              <w:top w:type="dxa" w:w="80"/>
              <w:left w:type="dxa" w:w="100"/>
              <w:bottom w:type="dxa" w:w="80"/>
              <w:right w:type="dxa" w:w="100"/>
            </w:tcMar>
          </w:tcPr>
          <w:p>
            <w:pPr>
              <w:jc w:val="left"/>
            </w:pPr>
            <w:r>
              <w:rPr>
                <w:b w:val="false"/>
                <w:bCs w:val="false"/>
                <w:color w:val="000000"/>
                <w:sz w:val="17"/>
                <w:szCs w:val="17"/>
              </w:rPr>
              <w:t xml:space="preserve">Deliberately break a field mapping in a test Zap and run it</w:t>
            </w:r>
          </w:p>
        </w:tc>
        <w:tc>
          <w:tcPr>
            <w:tcW w:type="dxa" w:w="4160"/>
            <w:shd w:fill="FFFFFF" w:val="clear"/>
            <w:tcMar>
              <w:top w:type="dxa" w:w="80"/>
              <w:left w:type="dxa" w:w="100"/>
              <w:bottom w:type="dxa" w:w="80"/>
              <w:right w:type="dxa" w:w="100"/>
            </w:tcMar>
          </w:tcPr>
          <w:p>
            <w:pPr>
              <w:jc w:val="left"/>
            </w:pPr>
            <w:r>
              <w:rPr>
                <w:b w:val="false"/>
                <w:bCs w:val="false"/>
                <w:color w:val="000000"/>
                <w:sz w:val="17"/>
                <w:szCs w:val="17"/>
              </w:rPr>
              <w:t xml:space="preserve">AUTOMATION_LOG shows a failed row AND you receive a Zapier error notification</w:t>
            </w:r>
          </w:p>
        </w:tc>
      </w:tr>
      <w:tr>
        <w:tc>
          <w:tcPr>
            <w:tcW w:type="dxa" w:w="900"/>
            <w:shd w:fill="F2F2F2" w:val="clear"/>
            <w:tcMar>
              <w:top w:type="dxa" w:w="80"/>
              <w:left w:type="dxa" w:w="100"/>
              <w:bottom w:type="dxa" w:w="80"/>
              <w:right w:type="dxa" w:w="100"/>
            </w:tcMar>
          </w:tcPr>
          <w:p>
            <w:pPr>
              <w:jc w:val="left"/>
            </w:pPr>
            <w:r>
              <w:rPr>
                <w:b w:val="false"/>
                <w:bCs w:val="false"/>
                <w:color w:val="000000"/>
                <w:sz w:val="17"/>
                <w:szCs w:val="17"/>
              </w:rPr>
              <w:t xml:space="preserve">5</w:t>
            </w:r>
          </w:p>
        </w:tc>
        <w:tc>
          <w:tcPr>
            <w:tcW w:type="dxa" w:w="4300"/>
            <w:shd w:fill="F2F2F2" w:val="clear"/>
            <w:tcMar>
              <w:top w:type="dxa" w:w="80"/>
              <w:left w:type="dxa" w:w="100"/>
              <w:bottom w:type="dxa" w:w="80"/>
              <w:right w:type="dxa" w:w="100"/>
            </w:tcMar>
          </w:tcPr>
          <w:p>
            <w:pPr>
              <w:jc w:val="left"/>
            </w:pPr>
            <w:r>
              <w:rPr>
                <w:b w:val="false"/>
                <w:bCs w:val="false"/>
                <w:color w:val="000000"/>
                <w:sz w:val="17"/>
                <w:szCs w:val="17"/>
              </w:rPr>
              <w:t xml:space="preserve">Update a PIPELINE cell that ACTIVE CLIENTS mirrors</w:t>
            </w:r>
          </w:p>
        </w:tc>
        <w:tc>
          <w:tcPr>
            <w:tcW w:type="dxa" w:w="4160"/>
            <w:shd w:fill="F2F2F2" w:val="clear"/>
            <w:tcMar>
              <w:top w:type="dxa" w:w="80"/>
              <w:left w:type="dxa" w:w="100"/>
              <w:bottom w:type="dxa" w:w="80"/>
              <w:right w:type="dxa" w:w="100"/>
            </w:tcMar>
          </w:tcPr>
          <w:p>
            <w:pPr>
              <w:jc w:val="left"/>
            </w:pPr>
            <w:r>
              <w:rPr>
                <w:b w:val="false"/>
                <w:bCs w:val="false"/>
                <w:color w:val="000000"/>
                <w:sz w:val="17"/>
                <w:szCs w:val="17"/>
              </w:rPr>
              <w:t xml:space="preserve">ACTIVE CLIENTS reflects the change without a Zap run</w:t>
            </w:r>
          </w:p>
        </w:tc>
      </w:tr>
      <w:tr>
        <w:tc>
          <w:tcPr>
            <w:tcW w:type="dxa" w:w="900"/>
            <w:shd w:fill="FFFFFF" w:val="clear"/>
            <w:tcMar>
              <w:top w:type="dxa" w:w="80"/>
              <w:left w:type="dxa" w:w="100"/>
              <w:bottom w:type="dxa" w:w="80"/>
              <w:right w:type="dxa" w:w="100"/>
            </w:tcMar>
          </w:tcPr>
          <w:p>
            <w:pPr>
              <w:jc w:val="left"/>
            </w:pPr>
            <w:r>
              <w:rPr>
                <w:b w:val="false"/>
                <w:bCs w:val="false"/>
                <w:color w:val="000000"/>
                <w:sz w:val="17"/>
                <w:szCs w:val="17"/>
              </w:rPr>
              <w:t xml:space="preserve">6</w:t>
            </w:r>
          </w:p>
        </w:tc>
        <w:tc>
          <w:tcPr>
            <w:tcW w:type="dxa" w:w="4300"/>
            <w:shd w:fill="FFFFFF" w:val="clear"/>
            <w:tcMar>
              <w:top w:type="dxa" w:w="80"/>
              <w:left w:type="dxa" w:w="100"/>
              <w:bottom w:type="dxa" w:w="80"/>
              <w:right w:type="dxa" w:w="100"/>
            </w:tcMar>
          </w:tcPr>
          <w:p>
            <w:pPr>
              <w:jc w:val="left"/>
            </w:pPr>
            <w:r>
              <w:rPr>
                <w:b w:val="false"/>
                <w:bCs w:val="false"/>
                <w:color w:val="000000"/>
                <w:sz w:val="17"/>
                <w:szCs w:val="17"/>
              </w:rPr>
              <w:t xml:space="preserve">Manually check Audit Start for a test client</w:t>
            </w:r>
          </w:p>
        </w:tc>
        <w:tc>
          <w:tcPr>
            <w:tcW w:type="dxa" w:w="4160"/>
            <w:shd w:fill="FFFFFF" w:val="clear"/>
            <w:tcMar>
              <w:top w:type="dxa" w:w="80"/>
              <w:left w:type="dxa" w:w="100"/>
              <w:bottom w:type="dxa" w:w="80"/>
              <w:right w:type="dxa" w:w="100"/>
            </w:tcMar>
          </w:tcPr>
          <w:p>
            <w:pPr>
              <w:jc w:val="left"/>
            </w:pPr>
            <w:r>
              <w:rPr>
                <w:b w:val="false"/>
                <w:bCs w:val="false"/>
                <w:color w:val="000000"/>
                <w:sz w:val="17"/>
                <w:szCs w:val="17"/>
              </w:rPr>
              <w:t xml:space="preserve">Kickoff/thank-you email sends automatically</w:t>
            </w:r>
          </w:p>
        </w:tc>
      </w:tr>
    </w:tbl>
    <w:p>
      <w:pPr>
        <w:pStyle w:val="Heading1"/>
        <w:pBdr>
          <w:bottom w:val="single" w:color="2E74B5" w:sz="8" w:space="4"/>
        </w:pBdr>
        <w:spacing w:after="160" w:before="360"/>
      </w:pPr>
      <w:r>
        <w:t xml:space="preserve">5. If Something Breaks</w:t>
      </w:r>
    </w:p>
    <w:p>
      <w:pPr>
        <w:pStyle w:val="ListParagraph"/>
        <w:numPr>
          <w:ilvl w:val="0"/>
          <w:numId w:val="3"/>
        </w:numPr>
        <w:spacing w:after="80" w:line="276"/>
      </w:pPr>
      <w:r>
        <w:t xml:space="preserve">Zapier: every Zap keeps its own run history under Zap → History. Check the failed step's output before changing anything else.</w:t>
      </w:r>
    </w:p>
    <w:p>
      <w:pPr>
        <w:pStyle w:val="ListParagraph"/>
        <w:numPr>
          <w:ilvl w:val="0"/>
          <w:numId w:val="3"/>
        </w:numPr>
        <w:spacing w:after="80" w:line="276"/>
      </w:pPr>
      <w:r>
        <w:t xml:space="preserve">Netlify: Deploys tab keeps every previous deploy — “Publish deploy” on a prior one is an instant rollback if a website change causes a problem.</w:t>
      </w:r>
    </w:p>
    <w:p>
      <w:pPr>
        <w:pStyle w:val="ListParagraph"/>
        <w:numPr>
          <w:ilvl w:val="0"/>
          <w:numId w:val="3"/>
        </w:numPr>
        <w:spacing w:after="80" w:line="276"/>
      </w:pPr>
      <w:r>
        <w:t xml:space="preserve">Website files: this session's changes are plain git commits — git revert &lt;commit&gt; undoes them cleanly if needed.</w:t>
      </w:r>
    </w:p>
    <w:p>
      <w:pPr>
        <w:pStyle w:val="ListParagraph"/>
        <w:numPr>
          <w:ilvl w:val="0"/>
          <w:numId w:val="3"/>
        </w:numPr>
        <w:spacing w:after="80" w:line="276"/>
      </w:pPr>
      <w:r>
        <w:t xml:space="preserve">When in doubt, don't guess — bring the specific error message or screenshot back and we'll diagnose it against the actual Zap step or file, the same way this guide was built.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70"/>
      </w:pPr>
    </w:lvl>
    <w:lvl w:ilvl="1" w15:tentative="1">
      <w:start w:val="1"/>
      <w:numFmt w:val="bullet"/>
      <w:lvlText w:val="–"/>
      <w:lvlJc w:val="left"/>
      <w:pPr>
        <w:ind w:left="900" w:hanging="270"/>
      </w:pPr>
    </w:lvl>
  </w:abstractNum>
  <w:abstractNum w:abstractNumId="3" w15:restartNumberingAfterBreak="0">
    <w:multiLevelType w:val="hybridMultilevel"/>
    <w:lvl w:ilvl="0" w15:tentative="1">
      <w:start w:val="1"/>
      <w:numFmt w:val="decimal"/>
      <w:lvlText w:val="%1."/>
      <w:lvlJc w:val="left"/>
      <w:pPr>
        <w:ind w:left="450" w:hanging="27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1F3864"/>
      <w:sz w:val="30"/>
      <w:szCs w:val="30"/>
    </w:rPr>
  </w:style>
  <w:style w:type="paragraph" w:styleId="Heading2">
    <w:name w:val="Heading 2"/>
    <w:basedOn w:val="Normal"/>
    <w:next w:val="Normal"/>
    <w:qFormat/>
    <w:rPr>
      <w:rFonts w:ascii="Calibri" w:cs="Calibri" w:eastAsia="Calibri" w:hAnsi="Calibri"/>
      <w:b/>
      <w:bCs/>
      <w:color w:val="2E74B5"/>
      <w:sz w:val="25"/>
      <w:szCs w:val="25"/>
    </w:rPr>
  </w:style>
  <w:style w:type="paragraph" w:styleId="Heading3">
    <w:name w:val="Heading 3"/>
    <w:basedOn w:val="Normal"/>
    <w:next w:val="Normal"/>
    <w:qFormat/>
    <w:rPr>
      <w:rFonts w:ascii="Calibri" w:cs="Calibri" w:eastAsia="Calibri" w:hAnsi="Calibri"/>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2026-07-14T05:29:38.538Z</dcterms:created>
  <dcterms:modified xsi:type="dcterms:W3CDTF">2026-07-14T05:29:38.539Z</dcterms:modified>
</cp:coreProperties>
</file>

<file path=docProps/custom.xml><?xml version="1.0" encoding="utf-8"?>
<Properties xmlns="http://schemas.openxmlformats.org/officeDocument/2006/custom-properties" xmlns:vt="http://schemas.openxmlformats.org/officeDocument/2006/docPropsVTypes"/>
</file>