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AuditMD Operational Guidelines</w:t>
      </w:r>
    </w:p>
    <w:p>
      <w:pPr>
        <w:spacing w:after="600"/>
        <w:jc w:val="center"/>
      </w:pPr>
      <w:r>
        <w:rPr>
          <w:b/>
          <w:bCs/>
          <w:color w:val="2E74B5"/>
          <w:sz w:val="32"/>
          <w:szCs w:val="32"/>
        </w:rPr>
        <w:t xml:space="preserve">Standing Rules for Running the System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Companion to: AuditMD_Automation_Redesign_Blueprint.docx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Companion to: AuditMD_Implementation_Guide.docx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DFEAL LLC · Digital Fusion Labs — Lead Architect Boroji Adebayo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Version 1.0 — July 14, 2026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1. Purpose</w:t>
      </w:r>
    </w:p>
    <w:p>
      <w:pPr>
        <w:spacing w:after="160" w:line="276"/>
      </w:pPr>
      <w:r>
        <w:t xml:space="preserve">This document is the standing operating reference for AuditMD's automation system — the rules that should hold true going forward, independent of any single fix or redesign phase. Where a rule originated in an earlier session (security rules, HIPAA stack) it's preserved here; where it's new, it closes a gap this redesign identified.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2. Security Rules (Always Enforce)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Never enter passwords, API keys, or credentials into any field, form, or chat.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DEEPSEEK_API_KEY and all ZAPIER_WEBHOOK_* URLs stay in Netlify environment variables only — never hardcoded in a committed file, with the one documented exception of the Intake form's catch hook (see Implementation Guide Section 1, item 5 — a known exception to monitor, not a pattern to repeat).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 Drive/Sheets connections authenticate as support@auditmd.xyz.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Notification/internal emails send FROM intake@auditmd.xyz TO dfealllc@gmail.com.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Client-facing emails send FROM support@auditmd.xyz.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client portal links in any automated email (deferred until 7 paying clients, per prior decision — revisit this threshold periodically).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Deliverables are sent as email attachments, not as Drive share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patient PHI is collected in any form — organizational health IT data only. This is a load-bearing assumption for the whole system's risk profile; do not add fields that could capture patient-identifiable data without revisiting this entire guideline set.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3. HIPAA Compliance Stack</w:t>
      </w:r>
    </w:p>
    <w:p>
      <w:pPr>
        <w:spacing w:after="160" w:line="276"/>
      </w:pPr>
      <w:r>
        <w:t xml:space="preserve">Google Workspace + Zapier Premium, per the 9-point strategy carried from the prior documentation, extended with the deliverability fixes from this redesign: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Sign a BAA with Google Workspace (Admin console → Account → Legal).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Sign a BAA with Zapier (Account settings → Compliance — available on Teams/Business plans).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Enable 2FA on support@auditmd.xyz and dfealllc@gmail.com.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Disable external sharing on the DFL_Client_Pipeline_Tracker spreadsheet.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Restrict Drive folder sharing — no client-facing Drive links in emails.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Review Zapier task history monthly; export logs for the pre-call processor, assessment branching handler, and post-audit debrief handler quarterly.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Publish SPF, DKIM, and DMARC for auditmd.xyz in Google Workspace Admin (new — closes the deliverability gap behind issue #1).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Register support@auditmd.xyz and intake@auditmd.xyz with Google Postmaster Tools and check domain reputation monthly (new).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Complete both BAAs before any live client data flows through the system (H-1) — this remains an open item as of this document's date; treat it as a hard gate, not a nice-to-have.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4. Data Governance</w:t>
      </w:r>
    </w:p>
    <w:p>
      <w:pPr>
        <w:pStyle w:val="Heading2"/>
        <w:spacing w:after="120" w:before="260"/>
      </w:pPr>
      <w:r>
        <w:t xml:space="preserve">4.1 — Single writer, multi reader</w:t>
      </w:r>
    </w:p>
    <w:p>
      <w:pPr>
        <w:spacing w:after="160" w:line="276"/>
      </w:pPr>
      <w:r>
        <w:t xml:space="preserve">PIPELINE is the authoritative record. Once Phase 5 of the Implementation Guide is complete, ACTIVE CLIENTS should be treated as a read view (formula-mirrored), not a second place Zaps write to. If you ever add a new Zap that needs to update client status, write to PIPELINE and let the formula carry it — don't add a new direct write to ACTIVE CLIENTS.</w:t>
      </w:r>
    </w:p>
    <w:p>
      <w:pPr>
        <w:pStyle w:val="Heading2"/>
        <w:spacing w:after="120" w:before="260"/>
      </w:pPr>
      <w:r>
        <w:t xml:space="preserve">4.2 — Folder naming convention</w:t>
      </w:r>
    </w:p>
    <w:p>
      <w:pPr>
        <w:spacing w:after="160" w:line="276"/>
      </w:pPr>
      <w:r>
        <w:t xml:space="preserve">YYYY-MM_ClientName, 4 fixed subfolders (01_Intake, 02_Audit_Outputs, 03_Deliverables, 04_Correspondence). Do not rename these subfolders — ZAP 12's keyword router and ZAP 11's template provisioner both depend on the exact folder structure and PIPELINE columns N–R holding the correct IDs.</w:t>
      </w:r>
    </w:p>
    <w:p>
      <w:pPr>
        <w:pStyle w:val="Heading2"/>
        <w:spacing w:after="120" w:before="260"/>
      </w:pPr>
      <w:r>
        <w:t xml:space="preserve">4.3 — Short Name / acronym collisions</w:t>
      </w:r>
    </w:p>
    <w:p>
      <w:pPr>
        <w:spacing w:after="160" w:line="276"/>
      </w:pPr>
      <w:r>
        <w:t xml:space="preserve">PIPELINE Column M (Short Name) is auto-generated per client and used by ZAP 12 to route files. As client volume grows, two organizations could generate the same acronym. This is a known, deferred risk (carried forward as GAP G-8) — monitor it; if you ever see a file land in the wrong client's folder, check for an acronym collision first.</w:t>
      </w:r>
    </w:p>
    <w:p>
      <w:pPr>
        <w:pStyle w:val="Heading2"/>
        <w:spacing w:after="120" w:before="260"/>
      </w:pPr>
      <w:r>
        <w:t xml:space="preserve">4.4 — Sheet column changes</w:t>
      </w:r>
    </w:p>
    <w:p>
      <w:pPr>
        <w:spacing w:after="160" w:line="276"/>
      </w:pPr>
      <w:r>
        <w:t xml:space="preserve">Never insert or delete a column in PIPELINE, ACTIVE CLIENTS, or any *_RESPONSES sheet without checking every Zap that reads or writes that sheet — column letters are hardcoded into Zap step mappings throughout this system. Append new columns at the end instead of inserting them mid-sheet.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5. Automation Governance</w:t>
      </w:r>
    </w:p>
    <w:p>
      <w:pPr>
        <w:pStyle w:val="Heading2"/>
        <w:spacing w:after="120" w:before="260"/>
      </w:pPr>
      <w:r>
        <w:t xml:space="preserve">5.1 — Idempotency is mandatory for every sheet-watching Zap</w:t>
      </w:r>
    </w:p>
    <w:p>
      <w:pPr>
        <w:spacing w:after="160" w:line="276"/>
      </w:pPr>
      <w:r>
        <w:t xml:space="preserve">Any Zap that triggers on “new or updated row” in a sheet another Zap also writes to must check a guard column before acting (see Implementation Guide Phase 3). This is not optional for new Zaps — build the guard in from the start rather than retrofitting it after a duplicate-send incident.</w:t>
      </w:r>
    </w:p>
    <w:p>
      <w:pPr>
        <w:pStyle w:val="Heading2"/>
        <w:spacing w:after="120" w:before="260"/>
      </w:pPr>
      <w:r>
        <w:t xml:space="preserve">5.2 — Reminder caps</w:t>
      </w:r>
    </w:p>
    <w:p>
      <w:pPr>
        <w:spacing w:after="160" w:line="276"/>
      </w:pPr>
      <w:r>
        <w:t xml:space="preserve">Any nudge/reminder automation must have a maximum send count before it escalates internally instead of continuing to email the client. Three is the current standard (see Nudge Engine, Prompts Pack Prompt 6).</w:t>
      </w:r>
    </w:p>
    <w:p>
      <w:pPr>
        <w:pStyle w:val="Heading2"/>
        <w:spacing w:after="120" w:before="260"/>
      </w:pPr>
      <w:r>
        <w:t xml:space="preserve">5.3 — Activity logging is mandatory for every new Zap</w:t>
      </w:r>
    </w:p>
    <w:p>
      <w:pPr>
        <w:spacing w:after="160" w:line="276"/>
      </w:pPr>
      <w:r>
        <w:t xml:space="preserve">Every Zap you build from this point forward ends with an AUTOMATION_LOG append step (Prompts Pack Prompt 7). This is the cheapest insurance in the whole system — a five-minute addition per Zap that turns "why didn't this fire" from a mystery into a two-minute lookup.</w:t>
      </w:r>
    </w:p>
    <w:p>
      <w:pPr>
        <w:pStyle w:val="Heading2"/>
        <w:spacing w:after="120" w:before="260"/>
      </w:pPr>
      <w:r>
        <w:t xml:space="preserve">5.4 — Error notifications</w:t>
      </w:r>
    </w:p>
    <w:p>
      <w:pPr>
        <w:spacing w:after="160" w:line="276"/>
      </w:pPr>
      <w:r>
        <w:t xml:space="preserve">Every published Zap should have Zapier's built-in error notification turned on. Check this whenever you publish a new Zap or edit an existing one — it's a per-Zap setting that doesn't carry over automatically.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6. Email Standards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Client-facing subject lines: no emoji, no bracket tags, plain professional language. Internal staff-notification subjects may keep emoji/brackets for visual scanning if you prefer.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Every client-facing email should be plain-text-forward (avoid heavy HTML/image blocks) and avoid stacking more than 2–3 links in a single message where possible.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first email any new prospect or client receives should include a line asking them to add support@auditmd.xyz to their contacts.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Sender identity: support@auditmd.xyz for anything the client sees; intake@auditmd.xyz for internal-to-internal notifications.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7. New-Form / New-Zap Checklist</w:t>
      </w:r>
    </w:p>
    <w:p>
      <w:pPr>
        <w:spacing w:after="160" w:line="276"/>
      </w:pPr>
      <w:r>
        <w:t xml:space="preserve">Run through this whenever you add a new assessment form, survey, or Zap to the system — it exists specifically to prevent the bug classes found in this session from recurring.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Form includes URL-param identity injection (?org=&amp;email=) with hidden-field pre-fill, matching the pattern in forms/pre-call.html and forms/stakeholder-survey.html.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Form includes a hidden client-side timestamp field as a fallback to Zapier's own trigger timestamp.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Submit handler calls event.preventDefault() before its fetch() call, and has an explicit success-state redirect or inline success message — never leaves the client on a form with no feedback.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Payload field names are cross-checked against the exact field names the receiving Zap step expects — don't assume; open the Zap and look.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New Zap has an idempotency guard if it watches a shared sheet (Section 5.1).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New Zap ends with an AUTOMATION_LOG append step (Section 5.3).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New Zap has error notifications turned on (Section 5.4).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New client-facing email subject follows the standards in Section 6.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8. Review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Skim AUTOMATION_LOG for any Status = Failed rows.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Review Zapier task history for errors; check Google Postmaster Tools domain reputation for both sending addresses.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Quarterly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 Zap logs for the pre-call processor, assessment branching handler, and post-audit debrief handler for compliance record-keeping; re-confirm both BAAs are current.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client volume grows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Re-check Short Name acronym collisions (Section 4.3); revisit the 7-paying-client threshold for introducing a client portal.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60" w:before="360"/>
      </w:pPr>
      <w:r>
        <w:t xml:space="preserve">9. Ownership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DFEAL LLC (dfealllc@gmail.com)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Client-facing email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support@auditmd.xyz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Internal notification email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intake@auditmd.xyz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Google Drive/Sheets authentication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support@auditmd.xyz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System architecture / consulting firm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Digital Fusion Labs — Lead Architect Boroji Adebayo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Website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auditmd.xyz, hosted on Netlify, repo at C:\Tools\DFL\dfeal-health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2026-07-14T05:31:18.069Z</dcterms:created>
  <dcterms:modified xsi:type="dcterms:W3CDTF">2026-07-14T05:31:18.070Z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