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color w:val="C62828"/>
          <w:sz w:val="28"/>
        </w:rPr>
        <w:t>━━━━━━━━━━━━━━━━━━━━━━━━━━━━━━━━━━━━━━━━━━━━━━━━━━━━━━━━━━━━</w:t>
      </w:r>
    </w:p>
    <w:p>
      <w:pPr>
        <w:spacing w:before="400"/>
        <w:jc w:val="left"/>
      </w:pPr>
      <w:r>
        <w:rPr>
          <w:rFonts w:ascii="Calibri" w:hAnsi="Calibri"/>
          <w:b/>
          <w:color w:val="1A1A2E"/>
          <w:sz w:val="64"/>
        </w:rPr>
        <w:t>SECURITY REPORT</w:t>
      </w:r>
    </w:p>
    <w:p>
      <w:pPr>
        <w:jc w:val="left"/>
      </w:pPr>
      <w:r>
        <w:rPr>
          <w:rFonts w:ascii="Calibri" w:hAnsi="Calibri"/>
          <w:color w:val="555566"/>
          <w:sz w:val="36"/>
        </w:rPr>
        <w:t>Blend Protocol v2 — Pool Contract</w:t>
      </w:r>
    </w:p>
    <w:p>
      <w:pPr>
        <w:spacing w:before="160"/>
      </w:pPr>
      <w:r>
        <w:rPr>
          <w:rFonts w:ascii="Calibri" w:hAnsi="Calibri"/>
          <w:i/>
          <w:color w:val="C62828"/>
          <w:sz w:val="26"/>
        </w:rPr>
        <w:t>Utilization Rate Manipulation via Same-Asset Leverage Loops</w:t>
      </w:r>
    </w:p>
    <w:p>
      <w:pPr>
        <w:spacing w:before="200"/>
      </w:pPr>
      <w:r>
        <w:rPr>
          <w:color w:val="C62828"/>
          <w:sz w:val="28"/>
        </w:rPr>
        <w:t>━━━━━━━━━━━━━━━━━━━━━━━━━━━━━━━━━━━━━━━━━━━━━━━━━━━━━━━━━━━━</w:t>
      </w:r>
    </w:p>
    <w:p>
      <w:pPr>
        <w:spacing w:before="600"/>
      </w:pPr>
    </w:p>
    <w:tbl>
      <w:tblPr>
        <w:tblStyle w:val="TableGrid"/>
        <w:tblW w:type="auto" w:w="0"/>
        <w:tblLook w:firstColumn="1" w:firstRow="1" w:lastColumn="0" w:lastRow="0" w:noHBand="0" w:noVBand="1" w:val="04A0"/>
      </w:tblPr>
      <w:tblGrid>
        <w:gridCol w:w="4703"/>
        <w:gridCol w:w="4703"/>
      </w:tblGrid>
      <w:tr>
        <w:tc>
          <w:tcPr>
            <w:tcW w:type="dxa" w:w="2268"/>
            <w:shd w:fill="1A1A2E"/>
          </w:tcPr>
          <w:p>
            <w:r>
              <w:rPr>
                <w:rFonts w:ascii="Calibri" w:hAnsi="Calibri"/>
                <w:b/>
                <w:color w:val="FFFFFF"/>
                <w:sz w:val="20"/>
              </w:rPr>
              <w:t>Report Date</w:t>
            </w:r>
          </w:p>
        </w:tc>
        <w:tc>
          <w:tcPr>
            <w:tcW w:type="dxa" w:w="6803"/>
          </w:tcPr>
          <w:p>
            <w:r>
              <w:rPr>
                <w:rFonts w:ascii="Calibri" w:hAnsi="Calibri"/>
                <w:b w:val="0"/>
                <w:sz w:val="20"/>
              </w:rPr>
              <w:t>2026-03-14</w:t>
            </w:r>
          </w:p>
        </w:tc>
      </w:tr>
      <w:tr>
        <w:tc>
          <w:tcPr>
            <w:tcW w:type="dxa" w:w="2268"/>
            <w:shd w:fill="1A1A2E"/>
          </w:tcPr>
          <w:p>
            <w:r>
              <w:rPr>
                <w:rFonts w:ascii="Calibri" w:hAnsi="Calibri"/>
                <w:b/>
                <w:color w:val="FFFFFF"/>
                <w:sz w:val="20"/>
              </w:rPr>
              <w:t>Severity</w:t>
            </w:r>
          </w:p>
        </w:tc>
        <w:tc>
          <w:tcPr>
            <w:tcW w:type="dxa" w:w="6803"/>
            <w:shd w:fill="FFCDD2"/>
          </w:tcPr>
          <w:p>
            <w:r>
              <w:rPr>
                <w:rFonts w:ascii="Calibri" w:hAnsi="Calibri"/>
                <w:b/>
                <w:color w:val="B71C1C"/>
                <w:sz w:val="20"/>
              </w:rPr>
              <w:t>CRITICAL</w:t>
            </w:r>
          </w:p>
        </w:tc>
      </w:tr>
      <w:tr>
        <w:tc>
          <w:tcPr>
            <w:tcW w:type="dxa" w:w="2268"/>
            <w:shd w:fill="1A1A2E"/>
          </w:tcPr>
          <w:p>
            <w:r>
              <w:rPr>
                <w:rFonts w:ascii="Calibri" w:hAnsi="Calibri"/>
                <w:b/>
                <w:color w:val="FFFFFF"/>
                <w:sz w:val="20"/>
              </w:rPr>
              <w:t>Network</w:t>
            </w:r>
          </w:p>
        </w:tc>
        <w:tc>
          <w:tcPr>
            <w:tcW w:type="dxa" w:w="6803"/>
          </w:tcPr>
          <w:p>
            <w:r>
              <w:rPr>
                <w:rFonts w:ascii="Calibri" w:hAnsi="Calibri"/>
                <w:b w:val="0"/>
                <w:sz w:val="20"/>
              </w:rPr>
              <w:t>Stellar Mainnet</w:t>
            </w:r>
          </w:p>
        </w:tc>
      </w:tr>
      <w:tr>
        <w:tc>
          <w:tcPr>
            <w:tcW w:type="dxa" w:w="2268"/>
            <w:shd w:fill="1A1A2E"/>
          </w:tcPr>
          <w:p>
            <w:r>
              <w:rPr>
                <w:rFonts w:ascii="Calibri" w:hAnsi="Calibri"/>
                <w:b/>
                <w:color w:val="FFFFFF"/>
                <w:sz w:val="20"/>
              </w:rPr>
              <w:t>Affected Pool</w:t>
            </w:r>
          </w:p>
        </w:tc>
        <w:tc>
          <w:tcPr>
            <w:tcW w:type="dxa" w:w="6803"/>
          </w:tcPr>
          <w:p>
            <w:r>
              <w:rPr>
                <w:rFonts w:ascii="Calibri" w:hAnsi="Calibri"/>
                <w:b w:val="0"/>
                <w:sz w:val="20"/>
              </w:rPr>
              <w:t>Etherfuse (CDMAVJPF...HEQS5FPVAI)</w:t>
            </w:r>
          </w:p>
        </w:tc>
      </w:tr>
      <w:tr>
        <w:tc>
          <w:tcPr>
            <w:tcW w:type="dxa" w:w="2268"/>
            <w:shd w:fill="1A1A2E"/>
          </w:tcPr>
          <w:p>
            <w:r>
              <w:rPr>
                <w:rFonts w:ascii="Calibri" w:hAnsi="Calibri"/>
                <w:b/>
                <w:color w:val="FFFFFF"/>
                <w:sz w:val="20"/>
              </w:rPr>
              <w:t>Affected Reserve</w:t>
            </w:r>
          </w:p>
        </w:tc>
        <w:tc>
          <w:tcPr>
            <w:tcW w:type="dxa" w:w="6803"/>
          </w:tcPr>
          <w:p>
            <w:r>
              <w:rPr>
                <w:rFonts w:ascii="Calibri" w:hAnsi="Calibri"/>
                <w:b w:val="0"/>
                <w:sz w:val="20"/>
              </w:rPr>
              <w:t>USDC (CCW67TSZ...LEO7SJMI75)</w:t>
            </w:r>
          </w:p>
        </w:tc>
      </w:tr>
      <w:tr>
        <w:tc>
          <w:tcPr>
            <w:tcW w:type="dxa" w:w="2268"/>
            <w:shd w:fill="1A1A2E"/>
          </w:tcPr>
          <w:p>
            <w:r>
              <w:rPr>
                <w:rFonts w:ascii="Calibri" w:hAnsi="Calibri"/>
                <w:b/>
                <w:color w:val="FFFFFF"/>
                <w:sz w:val="20"/>
              </w:rPr>
              <w:t>Component</w:t>
            </w:r>
          </w:p>
        </w:tc>
        <w:tc>
          <w:tcPr>
            <w:tcW w:type="dxa" w:w="6803"/>
          </w:tcPr>
          <w:p>
            <w:r>
              <w:rPr>
                <w:rFonts w:ascii="Calibri" w:hAnsi="Calibri"/>
                <w:b w:val="0"/>
                <w:sz w:val="20"/>
              </w:rPr>
              <w:t>Pool utilization rate calculation and interest rate model</w:t>
            </w:r>
          </w:p>
        </w:tc>
      </w:tr>
      <w:tr>
        <w:tc>
          <w:tcPr>
            <w:tcW w:type="dxa" w:w="2268"/>
            <w:shd w:fill="1A1A2E"/>
          </w:tcPr>
          <w:p>
            <w:r>
              <w:rPr>
                <w:rFonts w:ascii="Calibri" w:hAnsi="Calibri"/>
                <w:b/>
                <w:color w:val="FFFFFF"/>
                <w:sz w:val="20"/>
              </w:rPr>
              <w:t>Status</w:t>
            </w:r>
          </w:p>
        </w:tc>
        <w:tc>
          <w:tcPr>
            <w:tcW w:type="dxa" w:w="6803"/>
            <w:shd w:fill="FFF3E0"/>
          </w:tcPr>
          <w:p>
            <w:r>
              <w:rPr>
                <w:rFonts w:ascii="Calibri" w:hAnsi="Calibri"/>
                <w:b/>
                <w:color w:val="E65100"/>
                <w:sz w:val="20"/>
              </w:rPr>
              <w:t>Confirmed on Mainnet — Active</w:t>
            </w:r>
          </w:p>
        </w:tc>
      </w:tr>
    </w:tbl>
    <w:p>
      <w:r>
        <w:br w:type="page"/>
      </w:r>
    </w:p>
    <w:p>
      <w:pPr>
        <w:pStyle w:val="Heading1"/>
      </w:pPr>
      <w:r>
        <w:t>Table of Contents</w:t>
      </w:r>
    </w:p>
    <w:p>
      <w:pPr>
        <w:spacing w:after="40" w:before="40"/>
      </w:pPr>
      <w:r>
        <w:rPr>
          <w:b/>
          <w:color w:val="1A1A2E"/>
          <w:sz w:val="22"/>
        </w:rPr>
        <w:t>1. Executive Summary</w:t>
      </w:r>
    </w:p>
    <w:p>
      <w:pPr>
        <w:spacing w:after="40" w:before="40"/>
      </w:pPr>
      <w:r>
        <w:rPr>
          <w:b/>
          <w:color w:val="1A1A2E"/>
          <w:sz w:val="22"/>
        </w:rPr>
        <w:t>2. Vulnerability Details</w:t>
      </w:r>
    </w:p>
    <w:p>
      <w:pPr>
        <w:spacing w:after="40" w:before="40"/>
        <w:ind w:left="567"/>
      </w:pPr>
      <w:r>
        <w:rPr>
          <w:color w:val="555566"/>
          <w:sz w:val="20"/>
        </w:rPr>
        <w:t>2.1 Root Cause</w:t>
      </w:r>
    </w:p>
    <w:p>
      <w:pPr>
        <w:spacing w:after="40" w:before="40"/>
        <w:ind w:left="567"/>
      </w:pPr>
      <w:r>
        <w:rPr>
          <w:color w:val="555566"/>
          <w:sz w:val="20"/>
        </w:rPr>
        <w:t>2.2 Utilization Dilution Mechanism</w:t>
      </w:r>
    </w:p>
    <w:p>
      <w:pPr>
        <w:spacing w:after="40" w:before="40"/>
        <w:ind w:left="567"/>
      </w:pPr>
      <w:r>
        <w:rPr>
          <w:color w:val="555566"/>
          <w:sz w:val="20"/>
        </w:rPr>
        <w:t>2.3 TVL Inflation</w:t>
      </w:r>
    </w:p>
    <w:p>
      <w:pPr>
        <w:spacing w:after="40" w:before="40"/>
      </w:pPr>
      <w:r>
        <w:rPr>
          <w:b/>
          <w:color w:val="1A1A2E"/>
          <w:sz w:val="22"/>
        </w:rPr>
        <w:t>3. Impact Assessment</w:t>
      </w:r>
    </w:p>
    <w:p>
      <w:pPr>
        <w:spacing w:after="40" w:before="40"/>
        <w:ind w:left="567"/>
      </w:pPr>
      <w:r>
        <w:rPr>
          <w:color w:val="555566"/>
          <w:sz w:val="20"/>
        </w:rPr>
        <w:t>3.1 Interest Rate Manipulation (Critical)</w:t>
      </w:r>
    </w:p>
    <w:p>
      <w:pPr>
        <w:spacing w:after="40" w:before="40"/>
        <w:ind w:left="567"/>
      </w:pPr>
      <w:r>
        <w:rPr>
          <w:color w:val="555566"/>
          <w:sz w:val="20"/>
        </w:rPr>
        <w:t>3.2 Liquidity Drain (High)</w:t>
      </w:r>
    </w:p>
    <w:p>
      <w:pPr>
        <w:spacing w:after="40" w:before="40"/>
        <w:ind w:left="567"/>
      </w:pPr>
      <w:r>
        <w:rPr>
          <w:color w:val="555566"/>
          <w:sz w:val="20"/>
        </w:rPr>
        <w:t>3.3 Supplier Fund Lock (High)</w:t>
      </w:r>
    </w:p>
    <w:p>
      <w:pPr>
        <w:spacing w:after="40" w:before="40"/>
        <w:ind w:left="567"/>
      </w:pPr>
      <w:r>
        <w:rPr>
          <w:color w:val="555566"/>
          <w:sz w:val="20"/>
        </w:rPr>
        <w:t>3.4 Position Closure Deadlock (High)</w:t>
      </w:r>
    </w:p>
    <w:p>
      <w:pPr>
        <w:spacing w:after="40" w:before="40"/>
        <w:ind w:left="567"/>
      </w:pPr>
      <w:r>
        <w:rPr>
          <w:color w:val="555566"/>
          <w:sz w:val="20"/>
        </w:rPr>
        <w:t>3.5 TVL Misrepresentation (Medium)</w:t>
      </w:r>
    </w:p>
    <w:p>
      <w:pPr>
        <w:spacing w:after="40" w:before="40"/>
      </w:pPr>
      <w:r>
        <w:rPr>
          <w:b/>
          <w:color w:val="1A1A2E"/>
          <w:sz w:val="22"/>
        </w:rPr>
        <w:t>4. Proof of Concept — On-Chain Evidence</w:t>
      </w:r>
    </w:p>
    <w:p>
      <w:pPr>
        <w:spacing w:after="40" w:before="40"/>
        <w:ind w:left="567"/>
      </w:pPr>
      <w:r>
        <w:rPr>
          <w:color w:val="555566"/>
          <w:sz w:val="20"/>
        </w:rPr>
        <w:t>4.1 Actors</w:t>
      </w:r>
    </w:p>
    <w:p>
      <w:pPr>
        <w:spacing w:after="40" w:before="40"/>
        <w:ind w:left="567"/>
      </w:pPr>
      <w:r>
        <w:rPr>
          <w:color w:val="555566"/>
          <w:sz w:val="20"/>
        </w:rPr>
        <w:t>4.2 Pre-Conditions</w:t>
      </w:r>
    </w:p>
    <w:p>
      <w:pPr>
        <w:spacing w:after="40" w:before="40"/>
        <w:ind w:left="567"/>
      </w:pPr>
      <w:r>
        <w:rPr>
          <w:color w:val="555566"/>
          <w:sz w:val="20"/>
        </w:rPr>
        <w:t>4.3 Timeline of Events</w:t>
      </w:r>
    </w:p>
    <w:p>
      <w:pPr>
        <w:spacing w:after="40" w:before="40"/>
      </w:pPr>
      <w:r>
        <w:rPr>
          <w:b/>
          <w:color w:val="1A1A2E"/>
          <w:sz w:val="22"/>
        </w:rPr>
        <w:t>5. Attack Scenario — Profitable Exploitation</w:t>
      </w:r>
    </w:p>
    <w:p>
      <w:pPr>
        <w:spacing w:after="40" w:before="40"/>
      </w:pPr>
      <w:r>
        <w:rPr>
          <w:b/>
          <w:color w:val="1A1A2E"/>
          <w:sz w:val="22"/>
        </w:rPr>
        <w:t>6. Compounded Attack: Oracle + Utilization (Theoretical)</w:t>
      </w:r>
    </w:p>
    <w:p>
      <w:pPr>
        <w:spacing w:after="40" w:before="40"/>
        <w:ind w:left="567"/>
      </w:pPr>
      <w:r>
        <w:rPr>
          <w:color w:val="555566"/>
          <w:sz w:val="20"/>
        </w:rPr>
        <w:t>6.1 The YieldBlox Oracle Exploit (Feb 2026)</w:t>
      </w:r>
    </w:p>
    <w:p>
      <w:pPr>
        <w:spacing w:after="40" w:before="40"/>
        <w:ind w:left="567"/>
      </w:pPr>
      <w:r>
        <w:rPr>
          <w:color w:val="555566"/>
          <w:sz w:val="20"/>
        </w:rPr>
        <w:t>6.2 Different Oracle, Residual Risk</w:t>
      </w:r>
    </w:p>
    <w:p>
      <w:pPr>
        <w:spacing w:after="40" w:before="40"/>
        <w:ind w:left="567"/>
      </w:pPr>
      <w:r>
        <w:rPr>
          <w:color w:val="555566"/>
          <w:sz w:val="20"/>
        </w:rPr>
        <w:t>6.3 Why max_dev=5% Is Still Exploitable</w:t>
      </w:r>
    </w:p>
    <w:p>
      <w:pPr>
        <w:spacing w:after="40" w:before="40"/>
        <w:ind w:left="567"/>
      </w:pPr>
      <w:r>
        <w:rPr>
          <w:color w:val="555566"/>
          <w:sz w:val="20"/>
        </w:rPr>
        <w:t>6.4 Compounded Attack Scenario</w:t>
      </w:r>
    </w:p>
    <w:p>
      <w:pPr>
        <w:spacing w:after="40" w:before="40"/>
        <w:ind w:left="567"/>
      </w:pPr>
      <w:r>
        <w:rPr>
          <w:color w:val="555566"/>
          <w:sz w:val="20"/>
        </w:rPr>
        <w:t>6.5 Why This Remains a Risk</w:t>
      </w:r>
    </w:p>
    <w:p>
      <w:pPr>
        <w:spacing w:after="40" w:before="40"/>
      </w:pPr>
      <w:r>
        <w:rPr>
          <w:b/>
          <w:color w:val="1A1A2E"/>
          <w:sz w:val="22"/>
        </w:rPr>
        <w:t>7. Affected Contract Code</w:t>
      </w:r>
    </w:p>
    <w:p>
      <w:pPr>
        <w:spacing w:after="40" w:before="40"/>
      </w:pPr>
      <w:r>
        <w:rPr>
          <w:b/>
          <w:color w:val="1A1A2E"/>
          <w:sz w:val="22"/>
        </w:rPr>
        <w:t>8. Recommended Mitigations</w:t>
      </w:r>
    </w:p>
    <w:p>
      <w:pPr>
        <w:spacing w:after="40" w:before="40"/>
      </w:pPr>
      <w:r>
        <w:rPr>
          <w:b/>
          <w:color w:val="1A1A2E"/>
          <w:sz w:val="22"/>
        </w:rPr>
        <w:t>9. Conclusion</w:t>
      </w:r>
    </w:p>
    <w:p>
      <w:r>
        <w:br w:type="page"/>
      </w:r>
    </w:p>
    <w:p>
      <w:pPr>
        <w:pStyle w:val="Heading1"/>
      </w:pPr>
      <w:r>
        <w:t>1. Executive Summary</w:t>
      </w:r>
    </w:p>
    <w:p>
      <w:pPr>
        <w:jc w:val="left"/>
      </w:pPr>
      <w:r>
        <w:rPr>
          <w:b/>
          <w:color w:val="FFFFFF"/>
          <w:sz w:val="24"/>
          <w:shd w:fill="B71C1C" w:val="clear"/>
        </w:rPr>
        <w:t xml:space="preserve">  SEVERITY: CRITICAL  </w:t>
      </w:r>
    </w:p>
    <w:p>
      <w:pPr>
        <w:spacing w:before="200"/>
      </w:pPr>
      <w:r>
        <w:t>A same-asset leverage loop (supply USDC as collateral, borrow USDC, re-supply, re-borrow, repeated N times in a single atomic transaction) can artificially dilute a reserve's utilization rate, temporarily bringing it below the configured utilization cap (</w:t>
      </w:r>
      <w:r>
        <w:rPr>
          <w:rFonts w:ascii="Consolas" w:hAnsi="Consolas"/>
          <w:sz w:val="19"/>
        </w:rPr>
        <w:t>max_util</w:t>
      </w:r>
      <w:r>
        <w:t>). This enables third-party withdrawals that drain real liquidity from the pool. When the loop is subsequently unwound — which can happen in the same Stellar ledger (~5 seconds) — the utilization rate snaps back to its true, now higher level.</w:t>
      </w:r>
    </w:p>
    <w:p>
      <w:pPr>
        <w:spacing w:before="160"/>
      </w:pPr>
      <w:r>
        <w:rPr>
          <w:b/>
        </w:rPr>
        <w:t>The primary impact is twofold:</w:t>
      </w:r>
    </w:p>
    <w:p>
      <w:pPr>
        <w:pStyle w:val="ListBullet"/>
      </w:pPr>
      <w:r>
        <w:rPr>
          <w:b/>
        </w:rPr>
        <w:t xml:space="preserve">Interest Rate Manipulation: </w:t>
      </w:r>
      <w:r>
        <w:t>Pushing utilization above the target rate triggers Blend's steep interest rate curve (R_3), which on the Etherfuse USDC reserve reaches 500% APR. This forces all borrowers in the reserve to pay massively inflated rates, rapidly deteriorating their health factors and pushing them toward liquidation. The attacker can profit from this by holding a lending position that earns the inflated APY.</w:t>
      </w:r>
    </w:p>
    <w:p>
      <w:pPr>
        <w:pStyle w:val="ListBullet"/>
      </w:pPr>
      <w:r>
        <w:rPr>
          <w:b/>
        </w:rPr>
        <w:t xml:space="preserve">Liquidity Drain: </w:t>
      </w:r>
      <w:r>
        <w:t>Withdrawals executed during the suppressed-utilization window remove real liquidity, leaving the pool in a degraded state where utilization exceeds the utilization cap — a state the cap is designed to prevent as protection against "oracle instability or collateral asset exploits" (per Blend documentation).</w:t>
      </w:r>
    </w:p>
    <w:p>
      <w:pPr>
        <w:spacing w:before="160" w:after="160"/>
        <w:ind w:left="170"/>
        <w:shd w:fill="FFF3E0" w:val="clear"/>
        <w:pBdr>
          <w:left w:val="single" w:sz="24" w:space="8" w:color="E65100"/>
        </w:pBdr>
      </w:pPr>
      <w:r>
        <w:rPr>
          <w:color w:val="1A1A2E"/>
          <w:sz w:val="19"/>
        </w:rPr>
        <w:t>This vulnerability was confirmed on Stellar Mainnet on 2026-03-12/13 against the Etherfuse pool's USDC reserve. Within hours, users on the Blend Discord reported anomalous behavior on the USDC reserve.</w:t>
      </w:r>
    </w:p>
    <w:p>
      <w:pPr>
        <w:pStyle w:val="Heading1"/>
      </w:pPr>
      <w:r>
        <w:t>2. Vulnerability Details</w:t>
      </w:r>
    </w:p>
    <w:p>
      <w:pPr>
        <w:pStyle w:val="Heading2"/>
      </w:pPr>
      <w:r>
        <w:t>2.1 Root Cause</w:t>
      </w:r>
    </w:p>
    <w:p>
      <w:r>
        <w:t>Blend's utilization cap (</w:t>
      </w:r>
      <w:r>
        <w:rPr>
          <w:rFonts w:ascii="Consolas" w:hAnsi="Consolas"/>
          <w:sz w:val="19"/>
        </w:rPr>
        <w:t>max_util</w:t>
      </w:r>
      <w:r>
        <w:t xml:space="preserve">) is enforced via </w:t>
      </w:r>
      <w:r>
        <w:rPr>
          <w:rFonts w:ascii="Consolas" w:hAnsi="Consolas"/>
          <w:sz w:val="19"/>
        </w:rPr>
        <w:t>require_utilization_below_max</w:t>
      </w:r>
      <w:r>
        <w:t xml:space="preserve">, which is </w:t>
      </w:r>
      <w:r>
        <w:rPr>
          <w:b/>
        </w:rPr>
        <w:t>only called on borrow operations</w:t>
      </w:r>
      <w:r>
        <w:t xml:space="preserve"> (</w:t>
      </w:r>
      <w:r>
        <w:rPr>
          <w:rFonts w:ascii="Consolas" w:hAnsi="Consolas"/>
          <w:sz w:val="19"/>
        </w:rPr>
        <w:t>apply_borrow</w:t>
      </w:r>
      <w:r>
        <w:t>). Withdrawals (</w:t>
      </w:r>
      <w:r>
        <w:rPr>
          <w:rFonts w:ascii="Consolas" w:hAnsi="Consolas"/>
          <w:sz w:val="19"/>
        </w:rPr>
        <w:t>apply_withdraw, apply_withdraw_collateral</w:t>
      </w:r>
      <w:r>
        <w:t>) are only checked against the hard 100% ceiling (</w:t>
      </w:r>
      <w:r>
        <w:rPr>
          <w:rFonts w:ascii="Consolas" w:hAnsi="Consolas"/>
          <w:sz w:val="19"/>
        </w:rPr>
        <w:t>require_utilization_below_100</w:t>
      </w:r>
      <w:r>
        <w:t xml:space="preserve">), not against </w:t>
      </w:r>
      <w:r>
        <w:rPr>
          <w:rFonts w:ascii="Consolas" w:hAnsi="Consolas"/>
          <w:sz w:val="19"/>
        </w:rPr>
        <w:t>max_util</w:t>
      </w:r>
      <w:r>
        <w:t>.</w:t>
      </w:r>
    </w:p>
    <w:p>
      <w:pPr>
        <w:spacing w:before="160" w:after="160"/>
        <w:ind w:left="170"/>
        <w:shd w:fill="E8F0FE" w:val="clear"/>
        <w:pBdr>
          <w:left w:val="single" w:sz="24" w:space="8" w:color="1A73E8"/>
        </w:pBdr>
      </w:pPr>
      <w:r>
        <w:rPr>
          <w:color w:val="1A1A2E"/>
          <w:sz w:val="19"/>
        </w:rPr>
        <w:t>Per Blend documentation, the utilization cap exists as "protection from oracle instability or collateral asset exploits." However, because withdrawals bypass this cap, a leverage loop can temporarily suppress the apparent utilization, allow withdrawals that drain liquidity, and then unwind — leaving the pool above the cap.</w:t>
      </w:r>
    </w:p>
    <w:p>
      <w:pPr>
        <w:spacing w:before="160"/>
      </w:pPr>
      <w:r>
        <w:rPr>
          <w:b/>
        </w:rPr>
        <w:t xml:space="preserve">Relevant contract code — </w:t>
      </w:r>
      <w:r>
        <w:rPr>
          <w:rFonts w:ascii="Consolas" w:hAnsi="Consolas"/>
          <w:sz w:val="19"/>
        </w:rPr>
        <w:t>pool/src/pool/actions.rs</w:t>
      </w:r>
      <w:r>
        <w: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1A1A2E"/>
          </w:tcPr>
          <w:p>
            <w:pPr>
              <w:jc w:val="left"/>
            </w:pPr>
            <w:r>
              <w:rPr>
                <w:rFonts w:ascii="Calibri" w:hAnsi="Calibri"/>
                <w:b/>
                <w:color w:val="FFFFFF"/>
                <w:sz w:val="18"/>
              </w:rPr>
              <w:t>Operation</w:t>
            </w:r>
          </w:p>
        </w:tc>
        <w:tc>
          <w:tcPr>
            <w:tcW w:type="dxa" w:w="1984"/>
            <w:shd w:fill="1A1A2E"/>
          </w:tcPr>
          <w:p>
            <w:pPr>
              <w:jc w:val="left"/>
            </w:pPr>
            <w:r>
              <w:rPr>
                <w:rFonts w:ascii="Calibri" w:hAnsi="Calibri"/>
                <w:b/>
                <w:color w:val="FFFFFF"/>
                <w:sz w:val="18"/>
              </w:rPr>
              <w:t>util &lt; 100%</w:t>
            </w:r>
          </w:p>
        </w:tc>
        <w:tc>
          <w:tcPr>
            <w:tcW w:type="dxa" w:w="2551"/>
            <w:shd w:fill="1A1A2E"/>
          </w:tcPr>
          <w:p>
            <w:pPr>
              <w:jc w:val="left"/>
            </w:pPr>
            <w:r>
              <w:rPr>
                <w:rFonts w:ascii="Calibri" w:hAnsi="Calibri"/>
                <w:b/>
                <w:color w:val="FFFFFF"/>
                <w:sz w:val="18"/>
              </w:rPr>
              <w:t>util &lt; max_util (#1207)</w:t>
            </w:r>
          </w:p>
        </w:tc>
        <w:tc>
          <w:tcPr>
            <w:tcW w:type="dxa" w:w="1701"/>
            <w:shd w:fill="1A1A2E"/>
          </w:tcPr>
          <w:p>
            <w:pPr>
              <w:jc w:val="left"/>
            </w:pPr>
            <w:r>
              <w:rPr>
                <w:rFonts w:ascii="Calibri" w:hAnsi="Calibri"/>
                <w:b/>
                <w:color w:val="FFFFFF"/>
                <w:sz w:val="18"/>
              </w:rPr>
              <w:t>Health Check</w:t>
            </w:r>
          </w:p>
        </w:tc>
      </w:tr>
      <w:tr>
        <w:tc>
          <w:tcPr>
            <w:tcW w:type="dxa" w:w="2268"/>
          </w:tcPr>
          <w:p>
            <w:r>
              <w:rPr>
                <w:rFonts w:ascii="Calibri" w:hAnsi="Calibri"/>
                <w:b w:val="0"/>
                <w:sz w:val="18"/>
              </w:rPr>
              <w:t>Supply</w:t>
            </w:r>
          </w:p>
        </w:tc>
        <w:tc>
          <w:tcPr>
            <w:tcW w:type="dxa" w:w="1984"/>
          </w:tcPr>
          <w:p>
            <w:r>
              <w:rPr>
                <w:rFonts w:ascii="Calibri" w:hAnsi="Calibri"/>
                <w:b w:val="0"/>
                <w:sz w:val="18"/>
              </w:rPr>
              <w:t>—</w:t>
            </w:r>
          </w:p>
        </w:tc>
        <w:tc>
          <w:tcPr>
            <w:tcW w:type="dxa" w:w="2551"/>
          </w:tcPr>
          <w:p>
            <w:r>
              <w:rPr>
                <w:rFonts w:ascii="Calibri" w:hAnsi="Calibri"/>
                <w:b w:val="0"/>
                <w:sz w:val="18"/>
              </w:rPr>
              <w:t>—</w:t>
            </w:r>
          </w:p>
        </w:tc>
        <w:tc>
          <w:tcPr>
            <w:tcW w:type="dxa" w:w="1701"/>
          </w:tcPr>
          <w:p>
            <w:r>
              <w:rPr>
                <w:rFonts w:ascii="Calibri" w:hAnsi="Calibri"/>
                <w:b w:val="0"/>
                <w:sz w:val="18"/>
              </w:rPr>
              <w:t>—</w:t>
            </w:r>
          </w:p>
        </w:tc>
      </w:tr>
      <w:tr>
        <w:tc>
          <w:tcPr>
            <w:tcW w:type="dxa" w:w="2268"/>
            <w:shd w:fill="F5F5FA"/>
          </w:tcPr>
          <w:p>
            <w:r>
              <w:rPr>
                <w:rFonts w:ascii="Calibri" w:hAnsi="Calibri"/>
                <w:b w:val="0"/>
                <w:sz w:val="18"/>
              </w:rPr>
              <w:t>Withdraw</w:t>
            </w:r>
          </w:p>
        </w:tc>
        <w:tc>
          <w:tcPr>
            <w:tcW w:type="dxa" w:w="1984"/>
            <w:shd w:fill="F5F5FA"/>
          </w:tcPr>
          <w:p>
            <w:r>
              <w:rPr>
                <w:rFonts w:ascii="Calibri" w:hAnsi="Calibri"/>
                <w:b w:val="0"/>
                <w:sz w:val="18"/>
              </w:rPr>
              <w:t>Yes</w:t>
            </w:r>
          </w:p>
        </w:tc>
        <w:tc>
          <w:tcPr>
            <w:tcW w:type="dxa" w:w="2551"/>
            <w:shd w:fill="F5F5FA"/>
          </w:tcPr>
          <w:p>
            <w:r>
              <w:rPr>
                <w:rFonts w:ascii="Calibri" w:hAnsi="Calibri"/>
                <w:b w:val="0"/>
                <w:sz w:val="18"/>
              </w:rPr>
              <w:t>No</w:t>
            </w:r>
          </w:p>
        </w:tc>
        <w:tc>
          <w:tcPr>
            <w:tcW w:type="dxa" w:w="1701"/>
            <w:shd w:fill="F5F5FA"/>
          </w:tcPr>
          <w:p>
            <w:r>
              <w:rPr>
                <w:rFonts w:ascii="Calibri" w:hAnsi="Calibri"/>
                <w:b w:val="0"/>
                <w:sz w:val="18"/>
              </w:rPr>
              <w:t>—</w:t>
            </w:r>
          </w:p>
        </w:tc>
      </w:tr>
      <w:tr>
        <w:tc>
          <w:tcPr>
            <w:tcW w:type="dxa" w:w="2268"/>
          </w:tcPr>
          <w:p>
            <w:r>
              <w:rPr>
                <w:rFonts w:ascii="Calibri" w:hAnsi="Calibri"/>
                <w:b w:val="0"/>
                <w:sz w:val="18"/>
              </w:rPr>
              <w:t>SupplyCollateral</w:t>
            </w:r>
          </w:p>
        </w:tc>
        <w:tc>
          <w:tcPr>
            <w:tcW w:type="dxa" w:w="1984"/>
          </w:tcPr>
          <w:p>
            <w:r>
              <w:rPr>
                <w:rFonts w:ascii="Calibri" w:hAnsi="Calibri"/>
                <w:b w:val="0"/>
                <w:sz w:val="18"/>
              </w:rPr>
              <w:t>—</w:t>
            </w:r>
          </w:p>
        </w:tc>
        <w:tc>
          <w:tcPr>
            <w:tcW w:type="dxa" w:w="2551"/>
          </w:tcPr>
          <w:p>
            <w:r>
              <w:rPr>
                <w:rFonts w:ascii="Calibri" w:hAnsi="Calibri"/>
                <w:b w:val="0"/>
                <w:sz w:val="18"/>
              </w:rPr>
              <w:t>—</w:t>
            </w:r>
          </w:p>
        </w:tc>
        <w:tc>
          <w:tcPr>
            <w:tcW w:type="dxa" w:w="1701"/>
          </w:tcPr>
          <w:p>
            <w:r>
              <w:rPr>
                <w:rFonts w:ascii="Calibri" w:hAnsi="Calibri"/>
                <w:b w:val="0"/>
                <w:sz w:val="18"/>
              </w:rPr>
              <w:t>—</w:t>
            </w:r>
          </w:p>
        </w:tc>
      </w:tr>
      <w:tr>
        <w:tc>
          <w:tcPr>
            <w:tcW w:type="dxa" w:w="2268"/>
            <w:shd w:fill="F5F5FA"/>
          </w:tcPr>
          <w:p>
            <w:r>
              <w:rPr>
                <w:rFonts w:ascii="Calibri" w:hAnsi="Calibri"/>
                <w:b w:val="0"/>
                <w:sz w:val="18"/>
              </w:rPr>
              <w:t>WithdrawCollateral</w:t>
            </w:r>
          </w:p>
        </w:tc>
        <w:tc>
          <w:tcPr>
            <w:tcW w:type="dxa" w:w="1984"/>
            <w:shd w:fill="F5F5FA"/>
          </w:tcPr>
          <w:p>
            <w:r>
              <w:rPr>
                <w:rFonts w:ascii="Calibri" w:hAnsi="Calibri"/>
                <w:b w:val="0"/>
                <w:sz w:val="18"/>
              </w:rPr>
              <w:t>Yes</w:t>
            </w:r>
          </w:p>
        </w:tc>
        <w:tc>
          <w:tcPr>
            <w:tcW w:type="dxa" w:w="2551"/>
            <w:shd w:fill="F5F5FA"/>
          </w:tcPr>
          <w:p>
            <w:r>
              <w:rPr>
                <w:rFonts w:ascii="Calibri" w:hAnsi="Calibri"/>
                <w:b w:val="0"/>
                <w:sz w:val="18"/>
              </w:rPr>
              <w:t>No</w:t>
            </w:r>
          </w:p>
        </w:tc>
        <w:tc>
          <w:tcPr>
            <w:tcW w:type="dxa" w:w="1701"/>
            <w:shd w:fill="F5F5FA"/>
          </w:tcPr>
          <w:p>
            <w:r>
              <w:rPr>
                <w:rFonts w:ascii="Calibri" w:hAnsi="Calibri"/>
                <w:b w:val="0"/>
                <w:sz w:val="18"/>
              </w:rPr>
              <w:t>Yes</w:t>
            </w:r>
          </w:p>
        </w:tc>
      </w:tr>
      <w:tr>
        <w:tc>
          <w:tcPr>
            <w:tcW w:type="dxa" w:w="2268"/>
          </w:tcPr>
          <w:p>
            <w:r>
              <w:rPr>
                <w:rFonts w:ascii="Calibri" w:hAnsi="Calibri"/>
                <w:b w:val="0"/>
                <w:sz w:val="18"/>
              </w:rPr>
              <w:t>Borrow</w:t>
            </w:r>
          </w:p>
        </w:tc>
        <w:tc>
          <w:tcPr>
            <w:tcW w:type="dxa" w:w="1984"/>
          </w:tcPr>
          <w:p>
            <w:r>
              <w:rPr>
                <w:rFonts w:ascii="Calibri" w:hAnsi="Calibri"/>
                <w:b w:val="0"/>
                <w:sz w:val="18"/>
              </w:rPr>
              <w:t>Yes</w:t>
            </w:r>
          </w:p>
        </w:tc>
        <w:tc>
          <w:tcPr>
            <w:tcW w:type="dxa" w:w="2551"/>
          </w:tcPr>
          <w:p>
            <w:r>
              <w:rPr>
                <w:rFonts w:ascii="Calibri" w:hAnsi="Calibri"/>
                <w:b w:val="0"/>
                <w:sz w:val="18"/>
              </w:rPr>
              <w:t>Yes</w:t>
            </w:r>
          </w:p>
        </w:tc>
        <w:tc>
          <w:tcPr>
            <w:tcW w:type="dxa" w:w="1701"/>
          </w:tcPr>
          <w:p>
            <w:r>
              <w:rPr>
                <w:rFonts w:ascii="Calibri" w:hAnsi="Calibri"/>
                <w:b w:val="0"/>
                <w:sz w:val="18"/>
              </w:rPr>
              <w:t>Yes</w:t>
            </w:r>
          </w:p>
        </w:tc>
      </w:tr>
      <w:tr>
        <w:tc>
          <w:tcPr>
            <w:tcW w:type="dxa" w:w="2268"/>
            <w:shd w:fill="F5F5FA"/>
          </w:tcPr>
          <w:p>
            <w:r>
              <w:rPr>
                <w:rFonts w:ascii="Calibri" w:hAnsi="Calibri"/>
                <w:b w:val="0"/>
                <w:sz w:val="18"/>
              </w:rPr>
              <w:t>Repay</w:t>
            </w:r>
          </w:p>
        </w:tc>
        <w:tc>
          <w:tcPr>
            <w:tcW w:type="dxa" w:w="1984"/>
            <w:shd w:fill="F5F5FA"/>
          </w:tcPr>
          <w:p>
            <w:r>
              <w:rPr>
                <w:rFonts w:ascii="Calibri" w:hAnsi="Calibri"/>
                <w:b w:val="0"/>
                <w:sz w:val="18"/>
              </w:rPr>
              <w:t>—</w:t>
            </w:r>
          </w:p>
        </w:tc>
        <w:tc>
          <w:tcPr>
            <w:tcW w:type="dxa" w:w="2551"/>
            <w:shd w:fill="F5F5FA"/>
          </w:tcPr>
          <w:p>
            <w:r>
              <w:rPr>
                <w:rFonts w:ascii="Calibri" w:hAnsi="Calibri"/>
                <w:b w:val="0"/>
                <w:sz w:val="18"/>
              </w:rPr>
              <w:t>—</w:t>
            </w:r>
          </w:p>
        </w:tc>
        <w:tc>
          <w:tcPr>
            <w:tcW w:type="dxa" w:w="1701"/>
            <w:shd w:fill="F5F5FA"/>
          </w:tcPr>
          <w:p>
            <w:r>
              <w:rPr>
                <w:rFonts w:ascii="Calibri" w:hAnsi="Calibri"/>
                <w:b w:val="0"/>
                <w:sz w:val="18"/>
              </w:rPr>
              <w:t>—</w:t>
            </w:r>
          </w:p>
        </w:tc>
      </w:tr>
    </w:tbl>
    <w:p/>
    <w:p>
      <w:pPr>
        <w:pStyle w:val="Heading2"/>
      </w:pPr>
      <w:r>
        <w:t>2.2 Utilization Dilution Mechanism</w:t>
      </w:r>
    </w:p>
    <w:p>
      <w:r>
        <w:t>Consider a pool with:</w:t>
      </w:r>
    </w:p>
    <w:p>
      <w:pPr>
        <w:pStyle w:val="ListBullet"/>
        <w:spacing w:after="40"/>
      </w:pPr>
      <w:r>
        <w:t>Total supply: S</w:t>
      </w:r>
    </w:p>
    <w:p>
      <w:pPr>
        <w:pStyle w:val="ListBullet"/>
        <w:spacing w:after="40"/>
      </w:pPr>
      <w:r>
        <w:t>Total borrows: B</w:t>
      </w:r>
    </w:p>
    <w:p>
      <w:pPr>
        <w:pStyle w:val="ListBullet"/>
        <w:spacing w:after="40"/>
      </w:pPr>
      <w:r>
        <w:t>Utilization: U = B / S</w:t>
      </w:r>
    </w:p>
    <w:p>
      <w:pPr>
        <w:pStyle w:val="ListBullet"/>
        <w:spacing w:after="40"/>
      </w:pPr>
      <w:r>
        <w:t>Collateral factor: c (e.g., 0.95)</w:t>
      </w:r>
    </w:p>
    <w:p>
      <w:pPr>
        <w:pStyle w:val="ListBullet"/>
        <w:spacing w:after="40"/>
      </w:pPr>
      <w:r>
        <w:t>Utilization cap: max_util (e.g., 0.95)</w:t>
      </w:r>
    </w:p>
    <w:p>
      <w:r>
        <w:t>A user deposits X USDC and executes N loop iterations. Each iteration supplies the previous borrow amount and borrows c times that amount. After N iterations:</w:t>
      </w:r>
    </w:p>
    <w:p>
      <w:pPr>
        <w:spacing w:before="80" w:after="80"/>
        <w:ind w:left="283"/>
        <w:shd w:fill="F0F0F5" w:val="clear"/>
      </w:pPr>
      <w:r>
        <w:rPr>
          <w:rFonts w:ascii="Consolas" w:hAnsi="Consolas"/>
          <w:color w:val="333333"/>
          <w:sz w:val="17"/>
        </w:rPr>
        <w:t>Added supply  = X × (1 + c + c² + ... + cⁿ)  = X × (1 - c^(N+1)) / (1 - c)</w:t>
        <w:br/>
        <w:t>Added borrows = X × (c + c² + ... + cⁿ)      = X × c × (1 - c^N) / (1 - c)</w:t>
        <w:br/>
        <w:br/>
        <w:t>New utilization = (B + added_borrows) / (S + added_supply)</w:t>
      </w:r>
    </w:p>
    <w:p>
      <w:r>
        <w:rPr>
          <w:b/>
        </w:rPr>
        <w:t xml:space="preserve">Key insight: </w:t>
      </w:r>
      <w:r>
        <w:t>The ratio added_borrows / added_supply converges to c as N increases. Therefore:</w:t>
      </w:r>
    </w:p>
    <w:p>
      <w:pPr>
        <w:pStyle w:val="ListBullet"/>
        <w:spacing w:after="40"/>
      </w:pPr>
      <w:r>
        <w:rPr>
          <w:b/>
        </w:rPr>
        <w:t>If U &gt; c</w:t>
      </w:r>
      <w:r>
        <w:t>: the loop pulls utilization DOWN toward c</w:t>
      </w:r>
    </w:p>
    <w:p>
      <w:pPr>
        <w:pStyle w:val="ListBullet"/>
        <w:spacing w:after="40"/>
      </w:pPr>
      <w:r>
        <w:rPr>
          <w:b/>
        </w:rPr>
        <w:t>If U &lt; c</w:t>
      </w:r>
      <w:r>
        <w:t>: the loop pushes utilization UP toward c</w:t>
      </w:r>
    </w:p>
    <w:p>
      <w:pPr>
        <w:pStyle w:val="ListBullet"/>
        <w:spacing w:after="40"/>
      </w:pPr>
      <w:r>
        <w:rPr>
          <w:b/>
        </w:rPr>
        <w:t>If U = c</w:t>
      </w:r>
      <w:r>
        <w:t>: the loop has no effect on utilization</w:t>
      </w:r>
    </w:p>
    <w:p>
      <w:pPr>
        <w:spacing w:before="160" w:after="160"/>
        <w:ind w:left="170"/>
        <w:shd w:fill="FFF3E0" w:val="clear"/>
        <w:pBdr>
          <w:left w:val="single" w:sz="24" w:space="8" w:color="E65100"/>
        </w:pBdr>
      </w:pPr>
      <w:r>
        <w:rPr>
          <w:color w:val="1A1A2E"/>
          <w:sz w:val="19"/>
        </w:rPr>
        <w:t>In the critical case where a pool is near or above max_util (and max_util ≈ c_factor), a leverage loop artificially reduces the displayed utilization rate, creating a window where withdrawals succeed that should not.</w:t>
      </w:r>
    </w:p>
    <w:p>
      <w:pPr>
        <w:spacing w:before="160"/>
      </w:pPr>
      <w:r>
        <w:rPr>
          <w:b/>
        </w:rPr>
        <w:t>Numerical example (matching the on-chain exploit):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402"/>
            <w:shd w:fill="1A1A2E"/>
          </w:tcPr>
          <w:p>
            <w:pPr>
              <w:jc w:val="left"/>
            </w:pPr>
            <w:r>
              <w:rPr>
                <w:rFonts w:ascii="Calibri" w:hAnsi="Calibri"/>
                <w:b/>
                <w:color w:val="FFFFFF"/>
                <w:sz w:val="18"/>
              </w:rPr>
              <w:t>State</w:t>
            </w:r>
          </w:p>
        </w:tc>
        <w:tc>
          <w:tcPr>
            <w:tcW w:type="dxa" w:w="1701"/>
            <w:shd w:fill="1A1A2E"/>
          </w:tcPr>
          <w:p>
            <w:pPr>
              <w:jc w:val="left"/>
            </w:pPr>
            <w:r>
              <w:rPr>
                <w:rFonts w:ascii="Calibri" w:hAnsi="Calibri"/>
                <w:b/>
                <w:color w:val="FFFFFF"/>
                <w:sz w:val="18"/>
              </w:rPr>
              <w:t>Supply (USDC)</w:t>
            </w:r>
          </w:p>
        </w:tc>
        <w:tc>
          <w:tcPr>
            <w:tcW w:type="dxa" w:w="1701"/>
            <w:shd w:fill="1A1A2E"/>
          </w:tcPr>
          <w:p>
            <w:pPr>
              <w:jc w:val="left"/>
            </w:pPr>
            <w:r>
              <w:rPr>
                <w:rFonts w:ascii="Calibri" w:hAnsi="Calibri"/>
                <w:b/>
                <w:color w:val="FFFFFF"/>
                <w:sz w:val="18"/>
              </w:rPr>
              <w:t>Borrows (USDC)</w:t>
            </w:r>
          </w:p>
        </w:tc>
        <w:tc>
          <w:tcPr>
            <w:tcW w:type="dxa" w:w="1701"/>
            <w:shd w:fill="1A1A2E"/>
          </w:tcPr>
          <w:p>
            <w:pPr>
              <w:jc w:val="left"/>
            </w:pPr>
            <w:r>
              <w:rPr>
                <w:rFonts w:ascii="Calibri" w:hAnsi="Calibri"/>
                <w:b/>
                <w:color w:val="FFFFFF"/>
                <w:sz w:val="18"/>
              </w:rPr>
              <w:t>Utilization</w:t>
            </w:r>
          </w:p>
        </w:tc>
      </w:tr>
      <w:tr>
        <w:tc>
          <w:tcPr>
            <w:tcW w:type="dxa" w:w="3402"/>
          </w:tcPr>
          <w:p>
            <w:r>
              <w:rPr>
                <w:rFonts w:ascii="Calibri" w:hAnsi="Calibri"/>
                <w:b w:val="0"/>
                <w:sz w:val="18"/>
              </w:rPr>
              <w:t>Before loop (pre-exploit)</w:t>
            </w:r>
          </w:p>
        </w:tc>
        <w:tc>
          <w:tcPr>
            <w:tcW w:type="dxa" w:w="1701"/>
          </w:tcPr>
          <w:p>
            <w:r>
              <w:rPr>
                <w:rFonts w:ascii="Calibri" w:hAnsi="Calibri"/>
                <w:b w:val="0"/>
                <w:sz w:val="18"/>
              </w:rPr>
              <w:t>82,000</w:t>
            </w:r>
          </w:p>
        </w:tc>
        <w:tc>
          <w:tcPr>
            <w:tcW w:type="dxa" w:w="1701"/>
          </w:tcPr>
          <w:p>
            <w:r>
              <w:rPr>
                <w:rFonts w:ascii="Calibri" w:hAnsi="Calibri"/>
                <w:b w:val="0"/>
                <w:sz w:val="18"/>
              </w:rPr>
              <w:t>77,900</w:t>
            </w:r>
          </w:p>
        </w:tc>
        <w:tc>
          <w:tcPr>
            <w:tcW w:type="dxa" w:w="1701"/>
          </w:tcPr>
          <w:p>
            <w:r>
              <w:rPr>
                <w:rFonts w:ascii="Calibri" w:hAnsi="Calibri"/>
                <w:b w:val="0"/>
                <w:sz w:val="18"/>
              </w:rPr>
              <w:t>95.0%</w:t>
            </w:r>
          </w:p>
        </w:tc>
      </w:tr>
      <w:tr>
        <w:tc>
          <w:tcPr>
            <w:tcW w:type="dxa" w:w="3402"/>
            <w:shd w:fill="F5F5FA"/>
          </w:tcPr>
          <w:p>
            <w:r>
              <w:rPr>
                <w:rFonts w:ascii="Calibri" w:hAnsi="Calibri"/>
                <w:b w:val="0"/>
                <w:sz w:val="18"/>
              </w:rPr>
              <w:t>After 10x loop with 10,200 USDC</w:t>
            </w:r>
          </w:p>
        </w:tc>
        <w:tc>
          <w:tcPr>
            <w:tcW w:type="dxa" w:w="1701"/>
            <w:shd w:fill="F5F5FA"/>
          </w:tcPr>
          <w:p>
            <w:r>
              <w:rPr>
                <w:rFonts w:ascii="Calibri" w:hAnsi="Calibri"/>
                <w:b w:val="0"/>
                <w:sz w:val="18"/>
              </w:rPr>
              <w:t>177,600</w:t>
            </w:r>
          </w:p>
        </w:tc>
        <w:tc>
          <w:tcPr>
            <w:tcW w:type="dxa" w:w="1701"/>
            <w:shd w:fill="F5F5FA"/>
          </w:tcPr>
          <w:p>
            <w:r>
              <w:rPr>
                <w:rFonts w:ascii="Calibri" w:hAnsi="Calibri"/>
                <w:b w:val="0"/>
                <w:sz w:val="18"/>
              </w:rPr>
              <w:t>173,400</w:t>
            </w:r>
          </w:p>
        </w:tc>
        <w:tc>
          <w:tcPr>
            <w:tcW w:type="dxa" w:w="1701"/>
            <w:shd w:fill="F5F5FA"/>
          </w:tcPr>
          <w:p>
            <w:r>
              <w:rPr>
                <w:rFonts w:ascii="Calibri" w:hAnsi="Calibri"/>
                <w:b w:val="0"/>
                <w:sz w:val="18"/>
              </w:rPr>
              <w:t>~97.6%*</w:t>
            </w:r>
          </w:p>
        </w:tc>
      </w:tr>
      <w:tr>
        <w:tc>
          <w:tcPr>
            <w:tcW w:type="dxa" w:w="3402"/>
          </w:tcPr>
          <w:p>
            <w:r>
              <w:rPr>
                <w:rFonts w:ascii="Calibri" w:hAnsi="Calibri"/>
                <w:b w:val="0"/>
                <w:sz w:val="18"/>
              </w:rPr>
              <w:t>Third-party withdraws 5,000 USDC</w:t>
            </w:r>
          </w:p>
        </w:tc>
        <w:tc>
          <w:tcPr>
            <w:tcW w:type="dxa" w:w="1701"/>
          </w:tcPr>
          <w:p>
            <w:r>
              <w:rPr>
                <w:rFonts w:ascii="Calibri" w:hAnsi="Calibri"/>
                <w:b w:val="0"/>
                <w:sz w:val="18"/>
              </w:rPr>
              <w:t>172,600</w:t>
            </w:r>
          </w:p>
        </w:tc>
        <w:tc>
          <w:tcPr>
            <w:tcW w:type="dxa" w:w="1701"/>
          </w:tcPr>
          <w:p>
            <w:r>
              <w:rPr>
                <w:rFonts w:ascii="Calibri" w:hAnsi="Calibri"/>
                <w:b w:val="0"/>
                <w:sz w:val="18"/>
              </w:rPr>
              <w:t>173,400</w:t>
            </w:r>
          </w:p>
        </w:tc>
        <w:tc>
          <w:tcPr>
            <w:tcW w:type="dxa" w:w="1701"/>
          </w:tcPr>
          <w:p>
            <w:r>
              <w:rPr>
                <w:rFonts w:ascii="Calibri" w:hAnsi="Calibri"/>
                <w:b w:val="0"/>
                <w:sz w:val="18"/>
              </w:rPr>
              <w:t>Blocked (&gt;100%)</w:t>
            </w:r>
          </w:p>
        </w:tc>
      </w:tr>
      <w:tr>
        <w:tc>
          <w:tcPr>
            <w:tcW w:type="dxa" w:w="3402"/>
            <w:shd w:fill="F5F5FA"/>
          </w:tcPr>
          <w:p>
            <w:r>
              <w:rPr>
                <w:rFonts w:ascii="Calibri" w:hAnsi="Calibri"/>
                <w:b w:val="0"/>
                <w:sz w:val="18"/>
              </w:rPr>
              <w:t>Loop unwound</w:t>
            </w:r>
          </w:p>
        </w:tc>
        <w:tc>
          <w:tcPr>
            <w:tcW w:type="dxa" w:w="1701"/>
            <w:shd w:fill="F5F5FA"/>
          </w:tcPr>
          <w:p>
            <w:r>
              <w:rPr>
                <w:rFonts w:ascii="Calibri" w:hAnsi="Calibri"/>
                <w:b w:val="0"/>
                <w:sz w:val="18"/>
              </w:rPr>
              <w:t>77,000</w:t>
            </w:r>
          </w:p>
        </w:tc>
        <w:tc>
          <w:tcPr>
            <w:tcW w:type="dxa" w:w="1701"/>
            <w:shd w:fill="F5F5FA"/>
          </w:tcPr>
          <w:p>
            <w:r>
              <w:rPr>
                <w:rFonts w:ascii="Calibri" w:hAnsi="Calibri"/>
                <w:b w:val="0"/>
                <w:sz w:val="18"/>
              </w:rPr>
              <w:t>77,900</w:t>
            </w:r>
          </w:p>
        </w:tc>
        <w:tc>
          <w:tcPr>
            <w:tcW w:type="dxa" w:w="1701"/>
            <w:shd w:fill="F5F5FA"/>
          </w:tcPr>
          <w:p>
            <w:r>
              <w:rPr>
                <w:rFonts w:ascii="Calibri" w:hAnsi="Calibri"/>
                <w:b w:val="0"/>
                <w:sz w:val="18"/>
              </w:rPr>
              <w:t>101.2%</w:t>
            </w:r>
          </w:p>
        </w:tc>
      </w:tr>
    </w:tbl>
    <w:p/>
    <w:p>
      <w:r>
        <w:rPr>
          <w:i/>
          <w:color w:val="777777"/>
          <w:sz w:val="17"/>
        </w:rPr>
        <w:t>* Individual borrow-step utilization stays below max_util due to the dilution effect.</w:t>
      </w:r>
    </w:p>
    <w:p>
      <w:pPr>
        <w:pStyle w:val="Heading2"/>
      </w:pPr>
      <w:r>
        <w:t>2.3 TVL Inflation (Secondary Issue)</w:t>
      </w:r>
    </w:p>
    <w:p>
      <w:r>
        <w:t xml:space="preserve">Same-asset leverage loops artificially inflate the pool's reported Total Value Locked (TVL). A user depositing 200 USDC and looping 10 times creates ~2,000 USDC of apparent supply and ~1,800 USDC of apparent borrows — a </w:t>
      </w:r>
      <w:r>
        <w:rPr>
          <w:b/>
        </w:rPr>
        <w:t>10x inflation</w:t>
      </w:r>
      <w:r>
        <w:t xml:space="preserve"> of the economic reality. This misleads depositors, analytics dashboards, and risk models.</w:t>
      </w:r>
    </w:p>
    <w:p>
      <w:r>
        <w:br w:type="page"/>
      </w:r>
    </w:p>
    <w:p>
      <w:pPr>
        <w:pStyle w:val="Heading1"/>
      </w:pPr>
      <w:r>
        <w:t>3. Impact Assessment</w:t>
      </w:r>
    </w:p>
    <w:p>
      <w:pPr>
        <w:pStyle w:val="Heading2"/>
      </w:pPr>
      <w:r>
        <w:t>3.1 Interest Rate Manipulation — Forced Liquidation Risk</w:t>
      </w:r>
    </w:p>
    <w:p>
      <w:pPr>
        <w:jc w:val="left"/>
      </w:pPr>
      <w:r>
        <w:rPr>
          <w:b/>
          <w:color w:val="FFFFFF"/>
          <w:sz w:val="24"/>
          <w:shd w:fill="B71C1C" w:val="clear"/>
        </w:rPr>
        <w:t xml:space="preserve">  SEVERITY: CRITICAL  </w:t>
      </w:r>
    </w:p>
    <w:p>
      <w:r>
        <w:rPr>
          <w:b/>
        </w:rPr>
        <w:t xml:space="preserve">This is the most severe impact. </w:t>
      </w:r>
      <w:r>
        <w:t>Blend's interest rate model uses a three-leg piecewise function with a steep penalty slope (R_3) above the target utilization rate. The Rate Modifier (RM) further amplifies rates reactively when utilization stays above target.</w:t>
      </w:r>
    </w:p>
    <w:p>
      <w:pPr>
        <w:spacing w:before="120"/>
      </w:pPr>
      <w:r>
        <w:t>On the Etherfuse pool's USDC reserve, the configured parameters are:</w:t>
      </w:r>
    </w:p>
    <w:tbl>
      <w:tblPr>
        <w:tblStyle w:val="TableGrid"/>
        <w:tblW w:type="auto" w:w="0"/>
        <w:jc w:val="center"/>
        <w:tblLook w:firstColumn="1" w:firstRow="1" w:lastColumn="0" w:lastRow="0" w:noHBand="0" w:noVBand="1" w:val="04A0"/>
      </w:tblPr>
      <w:tblGrid>
        <w:gridCol w:w="4703"/>
        <w:gridCol w:w="4703"/>
      </w:tblGrid>
      <w:tr>
        <w:tc>
          <w:tcPr>
            <w:tcW w:type="dxa" w:w="3402"/>
            <w:shd w:fill="1A1A2E"/>
          </w:tcPr>
          <w:p>
            <w:pPr>
              <w:jc w:val="left"/>
            </w:pPr>
            <w:r>
              <w:rPr>
                <w:rFonts w:ascii="Calibri" w:hAnsi="Calibri"/>
                <w:b/>
                <w:color w:val="FFFFFF"/>
                <w:sz w:val="18"/>
              </w:rPr>
              <w:t>Parameter</w:t>
            </w:r>
          </w:p>
        </w:tc>
        <w:tc>
          <w:tcPr>
            <w:tcW w:type="dxa" w:w="3402"/>
            <w:shd w:fill="1A1A2E"/>
          </w:tcPr>
          <w:p>
            <w:pPr>
              <w:jc w:val="left"/>
            </w:pPr>
            <w:r>
              <w:rPr>
                <w:rFonts w:ascii="Calibri" w:hAnsi="Calibri"/>
                <w:b/>
                <w:color w:val="FFFFFF"/>
                <w:sz w:val="18"/>
              </w:rPr>
              <w:t>Value</w:t>
            </w:r>
          </w:p>
        </w:tc>
      </w:tr>
      <w:tr>
        <w:tc>
          <w:tcPr>
            <w:tcW w:type="dxa" w:w="3402"/>
          </w:tcPr>
          <w:p>
            <w:r>
              <w:rPr>
                <w:rFonts w:ascii="Calibri" w:hAnsi="Calibri"/>
                <w:b w:val="0"/>
                <w:sz w:val="18"/>
              </w:rPr>
              <w:t>Target utilization</w:t>
            </w:r>
          </w:p>
        </w:tc>
        <w:tc>
          <w:tcPr>
            <w:tcW w:type="dxa" w:w="3402"/>
          </w:tcPr>
          <w:p>
            <w:r>
              <w:rPr>
                <w:rFonts w:ascii="Calibri" w:hAnsi="Calibri"/>
                <w:b w:val="0"/>
                <w:sz w:val="18"/>
              </w:rPr>
              <w:t>80%</w:t>
            </w:r>
          </w:p>
        </w:tc>
      </w:tr>
      <w:tr>
        <w:tc>
          <w:tcPr>
            <w:tcW w:type="dxa" w:w="3402"/>
            <w:shd w:fill="F5F5FA"/>
          </w:tcPr>
          <w:p>
            <w:r>
              <w:rPr>
                <w:rFonts w:ascii="Calibri" w:hAnsi="Calibri"/>
                <w:b w:val="0"/>
                <w:sz w:val="18"/>
              </w:rPr>
              <w:t>R_1 (base rate)</w:t>
            </w:r>
          </w:p>
        </w:tc>
        <w:tc>
          <w:tcPr>
            <w:tcW w:type="dxa" w:w="3402"/>
            <w:shd w:fill="F5F5FA"/>
          </w:tcPr>
          <w:p>
            <w:r>
              <w:rPr>
                <w:rFonts w:ascii="Calibri" w:hAnsi="Calibri"/>
                <w:b w:val="0"/>
                <w:sz w:val="18"/>
              </w:rPr>
              <w:t>5% APR</w:t>
            </w:r>
          </w:p>
        </w:tc>
      </w:tr>
      <w:tr>
        <w:tc>
          <w:tcPr>
            <w:tcW w:type="dxa" w:w="3402"/>
          </w:tcPr>
          <w:p>
            <w:r>
              <w:rPr>
                <w:rFonts w:ascii="Calibri" w:hAnsi="Calibri"/>
                <w:b w:val="0"/>
                <w:sz w:val="18"/>
              </w:rPr>
              <w:t>R_2 (slope below target)</w:t>
            </w:r>
          </w:p>
        </w:tc>
        <w:tc>
          <w:tcPr>
            <w:tcW w:type="dxa" w:w="3402"/>
          </w:tcPr>
          <w:p>
            <w:r>
              <w:rPr>
                <w:rFonts w:ascii="Calibri" w:hAnsi="Calibri"/>
                <w:b w:val="0"/>
                <w:sz w:val="18"/>
              </w:rPr>
              <w:t>20% APR</w:t>
            </w:r>
          </w:p>
        </w:tc>
      </w:tr>
      <w:tr>
        <w:tc>
          <w:tcPr>
            <w:tcW w:type="dxa" w:w="3402"/>
            <w:shd w:fill="F5F5FA"/>
          </w:tcPr>
          <w:p>
            <w:r>
              <w:rPr>
                <w:rFonts w:ascii="Calibri" w:hAnsi="Calibri"/>
                <w:b w:val="0"/>
                <w:sz w:val="18"/>
              </w:rPr>
              <w:t>R_3 (slope above target)</w:t>
            </w:r>
          </w:p>
        </w:tc>
        <w:tc>
          <w:tcPr>
            <w:tcW w:type="dxa" w:w="3402"/>
            <w:shd w:fill="F5F5FA"/>
          </w:tcPr>
          <w:p>
            <w:r>
              <w:rPr>
                <w:rFonts w:ascii="Calibri" w:hAnsi="Calibri"/>
                <w:b w:val="0"/>
                <w:sz w:val="18"/>
              </w:rPr>
              <w:t>500% APR</w:t>
            </w:r>
          </w:p>
        </w:tc>
      </w:tr>
      <w:tr>
        <w:tc>
          <w:tcPr>
            <w:tcW w:type="dxa" w:w="3402"/>
          </w:tcPr>
          <w:p>
            <w:r>
              <w:rPr>
                <w:rFonts w:ascii="Calibri" w:hAnsi="Calibri"/>
                <w:b w:val="0"/>
                <w:sz w:val="18"/>
              </w:rPr>
              <w:t>Utilization cap (max_util)</w:t>
            </w:r>
          </w:p>
        </w:tc>
        <w:tc>
          <w:tcPr>
            <w:tcW w:type="dxa" w:w="3402"/>
          </w:tcPr>
          <w:p>
            <w:r>
              <w:rPr>
                <w:rFonts w:ascii="Calibri" w:hAnsi="Calibri"/>
                <w:b w:val="0"/>
                <w:sz w:val="18"/>
              </w:rPr>
              <w:t>95%</w:t>
            </w:r>
          </w:p>
        </w:tc>
      </w:tr>
    </w:tbl>
    <w:p/>
    <w:p>
      <w:r>
        <w:t>When the attacker pushes utilization from ~80% to 97%+, the effective borrowing rate jumps to hundreds of percent APR. At these rates, borrower health factors deteriorate rapidly:</w:t>
      </w:r>
    </w:p>
    <w:tbl>
      <w:tblPr>
        <w:tblStyle w:val="TableGrid"/>
        <w:tblW w:type="auto" w:w="0"/>
        <w:jc w:val="center"/>
        <w:tblLook w:firstColumn="1" w:firstRow="1" w:lastColumn="0" w:lastRow="0" w:noHBand="0" w:noVBand="1" w:val="04A0"/>
      </w:tblPr>
      <w:tblGrid>
        <w:gridCol w:w="4703"/>
        <w:gridCol w:w="4703"/>
      </w:tblGrid>
      <w:tr>
        <w:tc>
          <w:tcPr>
            <w:tcW w:type="dxa" w:w="3402"/>
            <w:shd w:fill="1A1A2E"/>
          </w:tcPr>
          <w:p>
            <w:pPr>
              <w:jc w:val="left"/>
            </w:pPr>
            <w:r>
              <w:rPr>
                <w:rFonts w:ascii="Calibri" w:hAnsi="Calibri"/>
                <w:b/>
                <w:color w:val="FFFFFF"/>
                <w:sz w:val="18"/>
              </w:rPr>
              <w:t>Starting Health Factor</w:t>
            </w:r>
          </w:p>
        </w:tc>
        <w:tc>
          <w:tcPr>
            <w:tcW w:type="dxa" w:w="3402"/>
            <w:shd w:fill="1A1A2E"/>
          </w:tcPr>
          <w:p>
            <w:pPr>
              <w:jc w:val="left"/>
            </w:pPr>
            <w:r>
              <w:rPr>
                <w:rFonts w:ascii="Calibri" w:hAnsi="Calibri"/>
                <w:b/>
                <w:color w:val="FFFFFF"/>
                <w:sz w:val="18"/>
              </w:rPr>
              <w:t>Time to Liquidation (at 500% APR)</w:t>
            </w:r>
          </w:p>
        </w:tc>
      </w:tr>
      <w:tr>
        <w:tc>
          <w:tcPr>
            <w:tcW w:type="dxa" w:w="3402"/>
          </w:tcPr>
          <w:p>
            <w:r>
              <w:rPr>
                <w:rFonts w:ascii="Calibri" w:hAnsi="Calibri"/>
                <w:b w:val="0"/>
                <w:sz w:val="18"/>
              </w:rPr>
              <w:t>HF 1.02</w:t>
            </w:r>
          </w:p>
        </w:tc>
        <w:tc>
          <w:tcPr>
            <w:tcW w:type="dxa" w:w="3402"/>
          </w:tcPr>
          <w:p>
            <w:r>
              <w:rPr>
                <w:rFonts w:ascii="Calibri" w:hAnsi="Calibri"/>
                <w:b w:val="0"/>
                <w:sz w:val="18"/>
              </w:rPr>
              <w:t>~1 day</w:t>
            </w:r>
          </w:p>
        </w:tc>
      </w:tr>
      <w:tr>
        <w:tc>
          <w:tcPr>
            <w:tcW w:type="dxa" w:w="3402"/>
            <w:shd w:fill="F5F5FA"/>
          </w:tcPr>
          <w:p>
            <w:r>
              <w:rPr>
                <w:rFonts w:ascii="Calibri" w:hAnsi="Calibri"/>
                <w:b w:val="0"/>
                <w:sz w:val="18"/>
              </w:rPr>
              <w:t>HF 1.05</w:t>
            </w:r>
          </w:p>
        </w:tc>
        <w:tc>
          <w:tcPr>
            <w:tcW w:type="dxa" w:w="3402"/>
            <w:shd w:fill="F5F5FA"/>
          </w:tcPr>
          <w:p>
            <w:r>
              <w:rPr>
                <w:rFonts w:ascii="Calibri" w:hAnsi="Calibri"/>
                <w:b w:val="0"/>
                <w:sz w:val="18"/>
              </w:rPr>
              <w:t>~4 days</w:t>
            </w:r>
          </w:p>
        </w:tc>
      </w:tr>
      <w:tr>
        <w:tc>
          <w:tcPr>
            <w:tcW w:type="dxa" w:w="3402"/>
          </w:tcPr>
          <w:p>
            <w:r>
              <w:rPr>
                <w:rFonts w:ascii="Calibri" w:hAnsi="Calibri"/>
                <w:b w:val="0"/>
                <w:sz w:val="18"/>
              </w:rPr>
              <w:t>HF 1.10</w:t>
            </w:r>
          </w:p>
        </w:tc>
        <w:tc>
          <w:tcPr>
            <w:tcW w:type="dxa" w:w="3402"/>
          </w:tcPr>
          <w:p>
            <w:r>
              <w:rPr>
                <w:rFonts w:ascii="Calibri" w:hAnsi="Calibri"/>
                <w:b w:val="0"/>
                <w:sz w:val="18"/>
              </w:rPr>
              <w:t>~8 days</w:t>
            </w:r>
          </w:p>
        </w:tc>
      </w:tr>
    </w:tbl>
    <w:p/>
    <w:p>
      <w:r>
        <w:rPr>
          <w:b/>
        </w:rPr>
        <w:t xml:space="preserve">Attack profitability: </w:t>
      </w:r>
      <w:r>
        <w:t>The attacker does not pay the inflated borrowing rate because:</w:t>
      </w:r>
    </w:p>
    <w:p>
      <w:pPr>
        <w:pStyle w:val="ListBullet"/>
        <w:spacing w:after="60"/>
      </w:pPr>
      <w:r>
        <w:t>The leverage loop and unloop can execute within the same Stellar ledger (~5 seconds), so the attacker's borrowing position exists for negligible time.</w:t>
      </w:r>
    </w:p>
    <w:p>
      <w:pPr>
        <w:pStyle w:val="ListBullet"/>
        <w:spacing w:after="60"/>
      </w:pPr>
      <w:r>
        <w:t>The attacker holds a separate lending position (Wallet A) that earns the inflated APY on real supplied funds.</w:t>
      </w:r>
    </w:p>
    <w:p>
      <w:pPr>
        <w:pStyle w:val="ListBullet"/>
        <w:spacing w:after="60"/>
      </w:pPr>
      <w:r>
        <w:t>The only cost is transaction gas fees (negligible on Stellar).</w:t>
      </w:r>
    </w:p>
    <w:p>
      <w:pPr>
        <w:spacing w:before="160" w:after="160"/>
        <w:ind w:left="170"/>
        <w:shd w:fill="FFF3E0" w:val="clear"/>
        <w:pBdr>
          <w:left w:val="single" w:sz="24" w:space="8" w:color="E65100"/>
        </w:pBdr>
      </w:pPr>
      <w:r>
        <w:rPr>
          <w:color w:val="1A1A2E"/>
          <w:sz w:val="19"/>
        </w:rPr>
        <w:t>In effect, the attacker extracts value from every borrower in the reserve, redistributing it to lenders (including themselves) and the backstop (Blend's first-loss capital module).</w:t>
      </w:r>
    </w:p>
    <w:p>
      <w:pPr>
        <w:spacing w:before="160"/>
      </w:pPr>
      <w:r>
        <w:rPr>
          <w:b/>
        </w:rPr>
        <w:t xml:space="preserve">Historical Precedent: </w:t>
      </w:r>
      <w:r>
        <w:t>This attack pattern closely mirrors the Aave V2 / CRV incident (November 2022), where an attacker used leverage loops to manipulate utilization rates on the CRV reserve. The inflated interest rates and illiquid conditions ultimately resulted in ~$1.6M in bad debt that had to be absorbed by the Aave DAO treasury. The incident prompted Aave to implement reserve-specific supply caps and risk parameter adjustments.</w:t>
      </w:r>
    </w:p>
    <w:p>
      <w:pPr>
        <w:spacing w:before="80" w:after="80"/>
        <w:ind w:left="283"/>
        <w:shd w:fill="F0F0F5" w:val="clear"/>
      </w:pPr>
      <w:r>
        <w:rPr>
          <w:rFonts w:ascii="Consolas" w:hAnsi="Consolas"/>
          <w:color w:val="333333"/>
          <w:sz w:val="18"/>
        </w:rPr>
        <w:t>At 97% utilization (post-exploit):</w:t>
        <w:br/>
        <w:t xml:space="preserve">  rate = R_1 + R_2 + ((0.97 - 0.80) / (1 - 0.80)) * R_3</w:t>
        <w:br/>
        <w:t xml:space="preserve">       = 5% + 20% + 0.85 * 500%</w:t>
        <w:br/>
        <w:t xml:space="preserve">       = 450% APR (before Rate Modifier amplification)</w:t>
      </w:r>
    </w:p>
    <w:p>
      <w:pPr>
        <w:pStyle w:val="Heading2"/>
      </w:pPr>
      <w:r>
        <w:t>3.2 Liquidity Drain</w:t>
      </w:r>
    </w:p>
    <w:p>
      <w:pPr>
        <w:jc w:val="left"/>
      </w:pPr>
      <w:r>
        <w:rPr>
          <w:b/>
          <w:color w:val="FFFFFF"/>
          <w:sz w:val="24"/>
          <w:shd w:fill="C62828" w:val="clear"/>
        </w:rPr>
        <w:t xml:space="preserve">  SEVERITY: HIGH  </w:t>
      </w:r>
    </w:p>
    <w:p>
      <w:r>
        <w:t>Withdrawals executed during suppressed utilization remove real liquidity from the pool. When the loop is unwound, utilization exceeds the cap — a state the cap is designed to prevent. In the observed case:</w:t>
      </w:r>
    </w:p>
    <w:p>
      <w:pPr>
        <w:spacing w:before="80" w:after="80"/>
        <w:ind w:left="283"/>
        <w:shd w:fill="F0F0F5" w:val="clear"/>
      </w:pPr>
      <w:r>
        <w:rPr>
          <w:rFonts w:ascii="Consolas" w:hAnsi="Consolas"/>
          <w:color w:val="333333"/>
          <w:sz w:val="19"/>
        </w:rPr>
        <w:t>Post-exploit USDC Reserve:</w:t>
        <w:br/>
        <w:t xml:space="preserve">  Total Supply:        82,011.50 USDC</w:t>
        <w:br/>
        <w:t xml:space="preserve">  Total Borrows:       79,727.10 USDC</w:t>
        <w:br/>
        <w:t xml:space="preserve">  Available Liquidity:  2,284.40 USDC  (2.8% of supply)</w:t>
        <w:br/>
        <w:t xml:space="preserve">  Current Utilization:    97.21%</w:t>
        <w:br/>
        <w:t xml:space="preserve">  Configured max_util:    95.00%</w:t>
        <w:br/>
        <w:t xml:space="preserve">  STATUS: UTILIZATION CAP VIOLATED</w:t>
      </w:r>
    </w:p>
    <w:p>
      <w:pPr>
        <w:pStyle w:val="Heading2"/>
      </w:pPr>
      <w:r>
        <w:t>3.3 Supplier Fund Lock</w:t>
      </w:r>
    </w:p>
    <w:p>
      <w:pPr>
        <w:jc w:val="left"/>
      </w:pPr>
      <w:r>
        <w:rPr>
          <w:b/>
          <w:color w:val="FFFFFF"/>
          <w:sz w:val="24"/>
          <w:shd w:fill="C62828" w:val="clear"/>
        </w:rPr>
        <w:t xml:space="preserve">  SEVERITY: HIGH  </w:t>
      </w:r>
    </w:p>
    <w:p>
      <w:r>
        <w:t xml:space="preserve">When utilization approaches 100%, suppliers who did not participate in the attack find their funds locked. </w:t>
      </w:r>
      <w:r>
        <w:rPr>
          <w:rFonts w:ascii="Consolas" w:hAnsi="Consolas"/>
          <w:sz w:val="19"/>
        </w:rPr>
        <w:t>require_utilization_below_100</w:t>
      </w:r>
      <w:r>
        <w:t xml:space="preserve"> blocks any withdrawal that would push utilization to 100%. These users must wait for borrowers to repay — a condition that may take an indeterminate amount of time.</w:t>
      </w:r>
    </w:p>
    <w:p>
      <w:pPr>
        <w:spacing w:before="160" w:after="160"/>
        <w:ind w:left="170"/>
        <w:shd w:fill="E8F0FE" w:val="clear"/>
        <w:pBdr>
          <w:left w:val="single" w:sz="24" w:space="8" w:color="1A73E8"/>
        </w:pBdr>
      </w:pPr>
      <w:r>
        <w:rPr>
          <w:color w:val="1A1A2E"/>
          <w:sz w:val="19"/>
        </w:rPr>
        <w:t>In the observed case, any supplier attempting to withdraw more than 2,284 USDC would be blocked.</w:t>
      </w:r>
    </w:p>
    <w:p>
      <w:pPr>
        <w:pStyle w:val="Heading2"/>
      </w:pPr>
      <w:r>
        <w:t>3.4 Position Closure Deadlock</w:t>
      </w:r>
    </w:p>
    <w:p>
      <w:pPr>
        <w:jc w:val="left"/>
      </w:pPr>
      <w:r>
        <w:rPr>
          <w:b/>
          <w:color w:val="FFFFFF"/>
          <w:sz w:val="24"/>
          <w:shd w:fill="C62828" w:val="clear"/>
        </w:rPr>
        <w:t xml:space="preserve">  SEVERITY: HIGH  </w:t>
      </w:r>
    </w:p>
    <w:p>
      <w:r>
        <w:t xml:space="preserve">If a looper's position remains open when the pool is above the utilization cap, the REPAY + WITHDRAW_COLLATERAL sequence required to close it may fail with </w:t>
      </w:r>
      <w:r>
        <w:rPr>
          <w:rFonts w:ascii="Consolas" w:hAnsi="Consolas"/>
          <w:sz w:val="19"/>
        </w:rPr>
        <w:t>Error(Contract, #1207)</w:t>
      </w:r>
      <w:r>
        <w:t xml:space="preserve"> — InvalidUtilRate — because the repay-then-withdraw sequence can momentarily reduce supply faster than borrows, spiking utilization.</w:t>
      </w:r>
    </w:p>
    <w:p>
      <w:pPr>
        <w:spacing w:before="160" w:after="160"/>
        <w:ind w:left="170"/>
        <w:shd w:fill="E8F0FE" w:val="clear"/>
        <w:pBdr>
          <w:left w:val="single" w:sz="24" w:space="8" w:color="1A73E8"/>
        </w:pBdr>
      </w:pPr>
      <w:r>
        <w:rPr>
          <w:color w:val="1A1A2E"/>
          <w:sz w:val="19"/>
        </w:rPr>
        <w:t>Note on liquidations: Blend's liquidation mechanism uses "gentle dutch auctions" and operates via position accounting (bToken/dToken transfers) rather than actual token movements. Liquidations will therefore always execute regardless of pool liquidity. However, the interest rate manipulation attack creates the liquidation conditions in the first place — borrowers are pushed to liquidation by artificially inflated rates, not by organic market movements.</w:t>
      </w:r>
    </w:p>
    <w:p>
      <w:pPr>
        <w:pStyle w:val="Heading2"/>
      </w:pPr>
      <w:r>
        <w:t>3.5 TVL Misrepresentation</w:t>
      </w:r>
    </w:p>
    <w:p>
      <w:pPr>
        <w:jc w:val="left"/>
      </w:pPr>
      <w:r>
        <w:rPr>
          <w:b/>
          <w:color w:val="FFFFFF"/>
          <w:sz w:val="24"/>
          <w:shd w:fill="E65100" w:val="clear"/>
        </w:rPr>
        <w:t xml:space="preserve">  SEVERITY: MEDIUM  </w:t>
      </w:r>
    </w:p>
    <w:p>
      <w:r>
        <w:t xml:space="preserve">Leverage loops inflate reported TVL by up to 1/(1-c) times the actual deposited capital. For c_factor = 0.95, a single user can inflate TVL by up to </w:t>
      </w:r>
      <w:r>
        <w:rPr>
          <w:b/>
        </w:rPr>
        <w:t>20x</w:t>
      </w:r>
      <w:r>
        <w:t xml:space="preserve"> their real deposit.</w:t>
      </w:r>
    </w:p>
    <w:p>
      <w:r>
        <w:br w:type="page"/>
      </w:r>
    </w:p>
    <w:p>
      <w:pPr>
        <w:pStyle w:val="Heading1"/>
      </w:pPr>
      <w:r>
        <w:t>4. Proof of Concept — On-Chain Evidence</w:t>
      </w:r>
    </w:p>
    <w:p>
      <w:r>
        <w:t>The following transactions were executed on Stellar Mainnet between 2026-03-12 21:11 UTC and 2026-03-13 23:46 UTC.</w:t>
      </w:r>
    </w:p>
    <w:p>
      <w:pPr>
        <w:pStyle w:val="Heading2"/>
      </w:pPr>
      <w:r>
        <w:t>4.1 Actors</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A1A2E"/>
          </w:tcPr>
          <w:p>
            <w:pPr>
              <w:jc w:val="left"/>
            </w:pPr>
            <w:r>
              <w:rPr>
                <w:rFonts w:ascii="Calibri" w:hAnsi="Calibri"/>
                <w:b/>
                <w:color w:val="FFFFFF"/>
                <w:sz w:val="18"/>
              </w:rPr>
              <w:t>Label</w:t>
            </w:r>
          </w:p>
        </w:tc>
        <w:tc>
          <w:tcPr>
            <w:tcW w:type="dxa" w:w="4535"/>
            <w:shd w:fill="1A1A2E"/>
          </w:tcPr>
          <w:p>
            <w:pPr>
              <w:jc w:val="left"/>
            </w:pPr>
            <w:r>
              <w:rPr>
                <w:rFonts w:ascii="Calibri" w:hAnsi="Calibri"/>
                <w:b/>
                <w:color w:val="FFFFFF"/>
                <w:sz w:val="18"/>
              </w:rPr>
              <w:t>Address</w:t>
            </w:r>
          </w:p>
        </w:tc>
        <w:tc>
          <w:tcPr>
            <w:tcW w:type="dxa" w:w="2268"/>
            <w:shd w:fill="1A1A2E"/>
          </w:tcPr>
          <w:p>
            <w:pPr>
              <w:jc w:val="left"/>
            </w:pPr>
            <w:r>
              <w:rPr>
                <w:rFonts w:ascii="Calibri" w:hAnsi="Calibri"/>
                <w:b/>
                <w:color w:val="FFFFFF"/>
                <w:sz w:val="18"/>
              </w:rPr>
              <w:t>Role</w:t>
            </w:r>
          </w:p>
        </w:tc>
      </w:tr>
      <w:tr>
        <w:tc>
          <w:tcPr>
            <w:tcW w:type="dxa" w:w="1701"/>
          </w:tcPr>
          <w:p>
            <w:r>
              <w:rPr>
                <w:rFonts w:ascii="Calibri" w:hAnsi="Calibri"/>
                <w:b w:val="0"/>
                <w:sz w:val="18"/>
              </w:rPr>
              <w:t>Wallet A (Lender)</w:t>
            </w:r>
          </w:p>
        </w:tc>
        <w:tc>
          <w:tcPr>
            <w:tcW w:type="dxa" w:w="4535"/>
          </w:tcPr>
          <w:p>
            <w:r>
              <w:rPr>
                <w:rFonts w:ascii="Calibri" w:hAnsi="Calibri"/>
                <w:b w:val="0"/>
                <w:sz w:val="18"/>
              </w:rPr>
              <w:t>GBHD3V2XKX6DXHYZDSHA2UYZTO4</w:t>
              <w:br/>
              <w:t>MKB2R6QNSCDT4XEKNGTLPXT7A36EA</w:t>
            </w:r>
          </w:p>
        </w:tc>
        <w:tc>
          <w:tcPr>
            <w:tcW w:type="dxa" w:w="2268"/>
          </w:tcPr>
          <w:p>
            <w:r>
              <w:rPr>
                <w:rFonts w:ascii="Calibri" w:hAnsi="Calibri"/>
                <w:b w:val="0"/>
                <w:sz w:val="18"/>
              </w:rPr>
              <w:t>Passive USDC supplier —</w:t>
              <w:br/>
              <w:t>earns inflated APY</w:t>
            </w:r>
          </w:p>
        </w:tc>
      </w:tr>
      <w:tr>
        <w:tc>
          <w:tcPr>
            <w:tcW w:type="dxa" w:w="1701"/>
            <w:shd w:fill="F5F5FA"/>
          </w:tcPr>
          <w:p>
            <w:r>
              <w:rPr>
                <w:rFonts w:ascii="Calibri" w:hAnsi="Calibri"/>
                <w:b w:val="0"/>
                <w:sz w:val="18"/>
              </w:rPr>
              <w:t>Wallet B (Looper)</w:t>
            </w:r>
          </w:p>
        </w:tc>
        <w:tc>
          <w:tcPr>
            <w:tcW w:type="dxa" w:w="4535"/>
            <w:shd w:fill="F5F5FA"/>
          </w:tcPr>
          <w:p>
            <w:r>
              <w:rPr>
                <w:rFonts w:ascii="Calibri" w:hAnsi="Calibri"/>
                <w:b w:val="0"/>
                <w:sz w:val="18"/>
              </w:rPr>
              <w:t>GCR3VBVLYM5ZUBX63XMYBEY4EMA</w:t>
              <w:br/>
              <w:t>PVNCLORA4CWPA64CYEQQT53UCIQ36</w:t>
            </w:r>
          </w:p>
        </w:tc>
        <w:tc>
          <w:tcPr>
            <w:tcW w:type="dxa" w:w="2268"/>
            <w:shd w:fill="F5F5FA"/>
          </w:tcPr>
          <w:p>
            <w:r>
              <w:rPr>
                <w:rFonts w:ascii="Calibri" w:hAnsi="Calibri"/>
                <w:b w:val="0"/>
                <w:sz w:val="18"/>
              </w:rPr>
              <w:t>Executed leverage loops</w:t>
            </w:r>
          </w:p>
        </w:tc>
      </w:tr>
    </w:tbl>
    <w:p/>
    <w:p>
      <w:pPr>
        <w:pStyle w:val="Heading2"/>
      </w:pPr>
      <w:r>
        <w:t>4.2 Pre-Conditions</w:t>
      </w:r>
    </w:p>
    <w:p>
      <w:pPr>
        <w:pStyle w:val="ListBullet"/>
        <w:spacing w:after="60"/>
      </w:pPr>
      <w:r>
        <w:t>Wallet A held a lending position in the Etherfuse pool's USDC reserve.</w:t>
      </w:r>
    </w:p>
    <w:p>
      <w:pPr>
        <w:pStyle w:val="ListBullet"/>
        <w:spacing w:after="60"/>
      </w:pPr>
      <w:r>
        <w:t>The USDC reserve was already at a high utilization rate (~95%), near the utilization cap.</w:t>
      </w:r>
    </w:p>
    <w:p>
      <w:pPr>
        <w:pStyle w:val="ListBullet"/>
        <w:spacing w:after="60"/>
      </w:pPr>
      <w:r>
        <w:t>The interest rate was at the boundary of the R_2/R_3 transition.</w:t>
      </w:r>
    </w:p>
    <w:p>
      <w:pPr>
        <w:pStyle w:val="Heading2"/>
      </w:pPr>
      <w:r>
        <w:t>4.3 Timeline of Events</w:t>
      </w:r>
    </w:p>
    <w:p>
      <w:pPr>
        <w:spacing w:before="160"/>
      </w:pPr>
      <w:r>
        <w:rPr>
          <w:b/>
          <w:color w:val="C62828"/>
        </w:rPr>
        <w:t>Phase 1 — Leverage Loop Deployment</w:t>
      </w:r>
    </w:p>
    <w:p>
      <w:r>
        <w:rPr>
          <w:b/>
        </w:rPr>
        <w:t>Transaction 1 — Leverage Loop (10x, 200 USDC)</w:t>
      </w:r>
    </w:p>
    <w:tbl>
      <w:tblPr>
        <w:tblStyle w:val="TableGrid"/>
        <w:tblW w:type="auto" w:w="0"/>
        <w:jc w:val="center"/>
        <w:tblLook w:firstColumn="1" w:firstRow="1" w:lastColumn="0" w:lastRow="0" w:noHBand="0" w:noVBand="1" w:val="04A0"/>
      </w:tblPr>
      <w:tblGrid>
        <w:gridCol w:w="4703"/>
        <w:gridCol w:w="4703"/>
      </w:tblGrid>
      <w:tr>
        <w:tc>
          <w:tcPr>
            <w:tcW w:type="dxa" w:w="2268"/>
            <w:shd w:fill="1A1A2E"/>
          </w:tcPr>
          <w:p>
            <w:pPr>
              <w:jc w:val="left"/>
            </w:pPr>
            <w:r>
              <w:rPr>
                <w:rFonts w:ascii="Calibri" w:hAnsi="Calibri"/>
                <w:b/>
                <w:color w:val="FFFFFF"/>
                <w:sz w:val="18"/>
              </w:rPr>
              <w:t>Field</w:t>
            </w:r>
          </w:p>
        </w:tc>
        <w:tc>
          <w:tcPr>
            <w:tcW w:type="dxa" w:w="6803"/>
            <w:shd w:fill="1A1A2E"/>
          </w:tcPr>
          <w:p>
            <w:pPr>
              <w:jc w:val="left"/>
            </w:pPr>
            <w:r>
              <w:rPr>
                <w:rFonts w:ascii="Calibri" w:hAnsi="Calibri"/>
                <w:b/>
                <w:color w:val="FFFFFF"/>
                <w:sz w:val="18"/>
              </w:rPr>
              <w:t>Value</w:t>
            </w:r>
          </w:p>
        </w:tc>
      </w:tr>
      <w:tr>
        <w:tc>
          <w:tcPr>
            <w:tcW w:type="dxa" w:w="2268"/>
          </w:tcPr>
          <w:p>
            <w:r>
              <w:rPr>
                <w:rFonts w:ascii="Calibri" w:hAnsi="Calibri"/>
                <w:b w:val="0"/>
                <w:sz w:val="18"/>
              </w:rPr>
              <w:t>TX Hash</w:t>
            </w:r>
          </w:p>
        </w:tc>
        <w:tc>
          <w:tcPr>
            <w:tcW w:type="dxa" w:w="6803"/>
          </w:tcPr>
          <w:p>
            <w:r>
              <w:rPr>
                <w:rFonts w:ascii="Calibri" w:hAnsi="Calibri"/>
                <w:b w:val="0"/>
                <w:sz w:val="18"/>
              </w:rPr>
              <w:t>78f090d376bb54de2dcefee11153ad217405b32fa5ace17e27392682882c2fa6</w:t>
            </w:r>
          </w:p>
        </w:tc>
      </w:tr>
      <w:tr>
        <w:tc>
          <w:tcPr>
            <w:tcW w:type="dxa" w:w="2268"/>
            <w:shd w:fill="F5F5FA"/>
          </w:tcPr>
          <w:p>
            <w:r>
              <w:rPr>
                <w:rFonts w:ascii="Calibri" w:hAnsi="Calibri"/>
                <w:b w:val="0"/>
                <w:sz w:val="18"/>
              </w:rPr>
              <w:t>Timestamp</w:t>
            </w:r>
          </w:p>
        </w:tc>
        <w:tc>
          <w:tcPr>
            <w:tcW w:type="dxa" w:w="6803"/>
            <w:shd w:fill="F5F5FA"/>
          </w:tcPr>
          <w:p>
            <w:r>
              <w:rPr>
                <w:rFonts w:ascii="Calibri" w:hAnsi="Calibri"/>
                <w:b w:val="0"/>
                <w:sz w:val="18"/>
              </w:rPr>
              <w:t>2026-03-12 22:02:07 UTC</w:t>
            </w:r>
          </w:p>
        </w:tc>
      </w:tr>
      <w:tr>
        <w:tc>
          <w:tcPr>
            <w:tcW w:type="dxa" w:w="2268"/>
          </w:tcPr>
          <w:p>
            <w:r>
              <w:rPr>
                <w:rFonts w:ascii="Calibri" w:hAnsi="Calibri"/>
                <w:b w:val="0"/>
                <w:sz w:val="18"/>
              </w:rPr>
              <w:t>Ledger</w:t>
            </w:r>
          </w:p>
        </w:tc>
        <w:tc>
          <w:tcPr>
            <w:tcW w:type="dxa" w:w="6803"/>
          </w:tcPr>
          <w:p>
            <w:r>
              <w:rPr>
                <w:rFonts w:ascii="Calibri" w:hAnsi="Calibri"/>
                <w:b w:val="0"/>
                <w:sz w:val="18"/>
              </w:rPr>
              <w:t>61,623,817</w:t>
            </w:r>
          </w:p>
        </w:tc>
      </w:tr>
      <w:tr>
        <w:tc>
          <w:tcPr>
            <w:tcW w:type="dxa" w:w="2268"/>
            <w:shd w:fill="F5F5FA"/>
          </w:tcPr>
          <w:p>
            <w:r>
              <w:rPr>
                <w:rFonts w:ascii="Calibri" w:hAnsi="Calibri"/>
                <w:b w:val="0"/>
                <w:sz w:val="18"/>
              </w:rPr>
              <w:t>Operation</w:t>
            </w:r>
          </w:p>
        </w:tc>
        <w:tc>
          <w:tcPr>
            <w:tcW w:type="dxa" w:w="6803"/>
            <w:shd w:fill="F5F5FA"/>
          </w:tcPr>
          <w:p>
            <w:r>
              <w:rPr>
                <w:rFonts w:ascii="Calibri" w:hAnsi="Calibri"/>
                <w:b w:val="0"/>
                <w:sz w:val="18"/>
              </w:rPr>
              <w:t>submit_with_allowance — 13 supply_collateral + 13 borrow</w:t>
            </w:r>
          </w:p>
        </w:tc>
      </w:tr>
      <w:tr>
        <w:tc>
          <w:tcPr>
            <w:tcW w:type="dxa" w:w="2268"/>
          </w:tcPr>
          <w:p>
            <w:r>
              <w:rPr>
                <w:rFonts w:ascii="Calibri" w:hAnsi="Calibri"/>
                <w:b w:val="0"/>
                <w:sz w:val="18"/>
              </w:rPr>
              <w:t>Initial Deposit</w:t>
            </w:r>
          </w:p>
        </w:tc>
        <w:tc>
          <w:tcPr>
            <w:tcW w:type="dxa" w:w="6803"/>
          </w:tcPr>
          <w:p>
            <w:r>
              <w:rPr>
                <w:rFonts w:ascii="Calibri" w:hAnsi="Calibri"/>
                <w:b w:val="0"/>
                <w:sz w:val="18"/>
              </w:rPr>
              <w:t>200.00 USDC</w:t>
            </w:r>
          </w:p>
        </w:tc>
      </w:tr>
      <w:tr>
        <w:tc>
          <w:tcPr>
            <w:tcW w:type="dxa" w:w="2268"/>
            <w:shd w:fill="F5F5FA"/>
          </w:tcPr>
          <w:p>
            <w:r>
              <w:rPr>
                <w:rFonts w:ascii="Calibri" w:hAnsi="Calibri"/>
                <w:b w:val="0"/>
                <w:sz w:val="18"/>
              </w:rPr>
              <w:t>Total Supply Added</w:t>
            </w:r>
          </w:p>
        </w:tc>
        <w:tc>
          <w:tcPr>
            <w:tcW w:type="dxa" w:w="6803"/>
            <w:shd w:fill="F5F5FA"/>
          </w:tcPr>
          <w:p>
            <w:r>
              <w:rPr>
                <w:rFonts w:ascii="Calibri" w:hAnsi="Calibri"/>
                <w:b w:val="0"/>
                <w:sz w:val="18"/>
              </w:rPr>
              <w:t>2,000.00 USDC</w:t>
            </w:r>
          </w:p>
        </w:tc>
      </w:tr>
      <w:tr>
        <w:tc>
          <w:tcPr>
            <w:tcW w:type="dxa" w:w="2268"/>
          </w:tcPr>
          <w:p>
            <w:r>
              <w:rPr>
                <w:rFonts w:ascii="Calibri" w:hAnsi="Calibri"/>
                <w:b w:val="0"/>
                <w:sz w:val="18"/>
              </w:rPr>
              <w:t>Total Borrows Added</w:t>
            </w:r>
          </w:p>
        </w:tc>
        <w:tc>
          <w:tcPr>
            <w:tcW w:type="dxa" w:w="6803"/>
          </w:tcPr>
          <w:p>
            <w:r>
              <w:rPr>
                <w:rFonts w:ascii="Calibri" w:hAnsi="Calibri"/>
                <w:b w:val="0"/>
                <w:sz w:val="18"/>
              </w:rPr>
              <w:t>1,800.00 USDC</w:t>
            </w:r>
          </w:p>
        </w:tc>
      </w:tr>
      <w:tr>
        <w:tc>
          <w:tcPr>
            <w:tcW w:type="dxa" w:w="2268"/>
            <w:shd w:fill="F5F5FA"/>
          </w:tcPr>
          <w:p>
            <w:r>
              <w:rPr>
                <w:rFonts w:ascii="Calibri" w:hAnsi="Calibri"/>
                <w:b w:val="0"/>
                <w:sz w:val="18"/>
              </w:rPr>
              <w:t>Effective Leverage</w:t>
            </w:r>
          </w:p>
        </w:tc>
        <w:tc>
          <w:tcPr>
            <w:tcW w:type="dxa" w:w="6803"/>
            <w:shd w:fill="F5F5FA"/>
          </w:tcPr>
          <w:p>
            <w:r>
              <w:rPr>
                <w:rFonts w:ascii="Calibri" w:hAnsi="Calibri"/>
                <w:b w:val="0"/>
                <w:sz w:val="18"/>
              </w:rPr>
              <w:t>10.0x</w:t>
            </w:r>
          </w:p>
        </w:tc>
      </w:tr>
    </w:tbl>
    <w:p/>
    <w:p>
      <w:r>
        <w:t>Individual loop iterations:</w:t>
      </w:r>
    </w:p>
    <w:p>
      <w:pPr>
        <w:spacing w:before="80" w:after="80"/>
        <w:ind w:left="283"/>
        <w:shd w:fill="F0F0F5" w:val="clear"/>
      </w:pPr>
      <w:r>
        <w:rPr>
          <w:rFonts w:ascii="Consolas" w:hAnsi="Consolas"/>
          <w:color w:val="333333"/>
          <w:sz w:val="17"/>
        </w:rPr>
        <w:t>supply  200.00  -&gt;  borrow  190.00</w:t>
        <w:br/>
        <w:t>supply  190.00  -&gt;  borrow  180.50</w:t>
        <w:br/>
        <w:t>supply  180.50  -&gt;  borrow  171.47</w:t>
        <w:br/>
        <w:t>supply  171.47  -&gt;  borrow  162.90</w:t>
        <w:br/>
        <w:t>supply  162.90  -&gt;  borrow  154.76</w:t>
        <w:br/>
        <w:t>supply  154.76  -&gt;  borrow  147.02</w:t>
        <w:br/>
        <w:t>supply  147.02  -&gt;  borrow  139.67</w:t>
        <w:br/>
        <w:t>supply  139.67  -&gt;  borrow  132.68</w:t>
        <w:br/>
        <w:t>supply  132.68  -&gt;  borrow  126.05</w:t>
        <w:br/>
        <w:t>supply  126.05  -&gt;  borrow  119.75</w:t>
        <w:br/>
        <w:t>supply  119.75  -&gt;  borrow  113.76</w:t>
        <w:br/>
        <w:t>supply  113.76  -&gt;  borrow  108.07</w:t>
        <w:br/>
        <w:t>supply  108.07  -&gt;  borrow   53.37</w:t>
        <w:br/>
        <w:t>supply   53.37  (final collateral deposit)</w:t>
      </w:r>
    </w:p>
    <w:p>
      <w:r>
        <w:rPr>
          <w:b/>
        </w:rPr>
        <w:t>Transaction 2 — Leverage Loop (9.3x, 200 USDC)</w:t>
      </w:r>
    </w:p>
    <w:tbl>
      <w:tblPr>
        <w:tblStyle w:val="TableGrid"/>
        <w:tblW w:type="auto" w:w="0"/>
        <w:jc w:val="center"/>
        <w:tblLook w:firstColumn="1" w:firstRow="1" w:lastColumn="0" w:lastRow="0" w:noHBand="0" w:noVBand="1" w:val="04A0"/>
      </w:tblPr>
      <w:tblGrid>
        <w:gridCol w:w="4703"/>
        <w:gridCol w:w="4703"/>
      </w:tblGrid>
      <w:tr>
        <w:tc>
          <w:tcPr>
            <w:tcW w:type="dxa" w:w="2268"/>
            <w:shd w:fill="1A1A2E"/>
          </w:tcPr>
          <w:p>
            <w:pPr>
              <w:jc w:val="left"/>
            </w:pPr>
            <w:r>
              <w:rPr>
                <w:rFonts w:ascii="Calibri" w:hAnsi="Calibri"/>
                <w:b/>
                <w:color w:val="FFFFFF"/>
                <w:sz w:val="18"/>
              </w:rPr>
              <w:t>Field</w:t>
            </w:r>
          </w:p>
        </w:tc>
        <w:tc>
          <w:tcPr>
            <w:tcW w:type="dxa" w:w="6803"/>
            <w:shd w:fill="1A1A2E"/>
          </w:tcPr>
          <w:p>
            <w:pPr>
              <w:jc w:val="left"/>
            </w:pPr>
            <w:r>
              <w:rPr>
                <w:rFonts w:ascii="Calibri" w:hAnsi="Calibri"/>
                <w:b/>
                <w:color w:val="FFFFFF"/>
                <w:sz w:val="18"/>
              </w:rPr>
              <w:t>Value</w:t>
            </w:r>
          </w:p>
        </w:tc>
      </w:tr>
      <w:tr>
        <w:tc>
          <w:tcPr>
            <w:tcW w:type="dxa" w:w="2268"/>
          </w:tcPr>
          <w:p>
            <w:r>
              <w:rPr>
                <w:rFonts w:ascii="Calibri" w:hAnsi="Calibri"/>
                <w:b w:val="0"/>
                <w:sz w:val="18"/>
              </w:rPr>
              <w:t>TX Hash</w:t>
            </w:r>
          </w:p>
        </w:tc>
        <w:tc>
          <w:tcPr>
            <w:tcW w:type="dxa" w:w="6803"/>
          </w:tcPr>
          <w:p>
            <w:r>
              <w:rPr>
                <w:rFonts w:ascii="Calibri" w:hAnsi="Calibri"/>
                <w:b w:val="0"/>
                <w:sz w:val="18"/>
              </w:rPr>
              <w:t>b040e55d32aaa9d314049fcd186a3c594c5bad2bc937045acc7d504af15e0f56</w:t>
            </w:r>
          </w:p>
        </w:tc>
      </w:tr>
      <w:tr>
        <w:tc>
          <w:tcPr>
            <w:tcW w:type="dxa" w:w="2268"/>
            <w:shd w:fill="F5F5FA"/>
          </w:tcPr>
          <w:p>
            <w:r>
              <w:rPr>
                <w:rFonts w:ascii="Calibri" w:hAnsi="Calibri"/>
                <w:b w:val="0"/>
                <w:sz w:val="18"/>
              </w:rPr>
              <w:t>Timestamp</w:t>
            </w:r>
          </w:p>
        </w:tc>
        <w:tc>
          <w:tcPr>
            <w:tcW w:type="dxa" w:w="6803"/>
            <w:shd w:fill="F5F5FA"/>
          </w:tcPr>
          <w:p>
            <w:r>
              <w:rPr>
                <w:rFonts w:ascii="Calibri" w:hAnsi="Calibri"/>
                <w:b w:val="0"/>
                <w:sz w:val="18"/>
              </w:rPr>
              <w:t>2026-03-12 22:36:42 UTC</w:t>
            </w:r>
          </w:p>
        </w:tc>
      </w:tr>
      <w:tr>
        <w:tc>
          <w:tcPr>
            <w:tcW w:type="dxa" w:w="2268"/>
          </w:tcPr>
          <w:p>
            <w:r>
              <w:rPr>
                <w:rFonts w:ascii="Calibri" w:hAnsi="Calibri"/>
                <w:b w:val="0"/>
                <w:sz w:val="18"/>
              </w:rPr>
              <w:t>Ledger</w:t>
            </w:r>
          </w:p>
        </w:tc>
        <w:tc>
          <w:tcPr>
            <w:tcW w:type="dxa" w:w="6803"/>
          </w:tcPr>
          <w:p>
            <w:r>
              <w:rPr>
                <w:rFonts w:ascii="Calibri" w:hAnsi="Calibri"/>
                <w:b w:val="0"/>
                <w:sz w:val="18"/>
              </w:rPr>
              <w:t>61,624,178</w:t>
            </w:r>
          </w:p>
        </w:tc>
      </w:tr>
      <w:tr>
        <w:tc>
          <w:tcPr>
            <w:tcW w:type="dxa" w:w="2268"/>
            <w:shd w:fill="F5F5FA"/>
          </w:tcPr>
          <w:p>
            <w:r>
              <w:rPr>
                <w:rFonts w:ascii="Calibri" w:hAnsi="Calibri"/>
                <w:b w:val="0"/>
                <w:sz w:val="18"/>
              </w:rPr>
              <w:t>Total Supply Added</w:t>
            </w:r>
          </w:p>
        </w:tc>
        <w:tc>
          <w:tcPr>
            <w:tcW w:type="dxa" w:w="6803"/>
            <w:shd w:fill="F5F5FA"/>
          </w:tcPr>
          <w:p>
            <w:r>
              <w:rPr>
                <w:rFonts w:ascii="Calibri" w:hAnsi="Calibri"/>
                <w:b w:val="0"/>
                <w:sz w:val="18"/>
              </w:rPr>
              <w:t>1,860.00 USDC</w:t>
            </w:r>
          </w:p>
        </w:tc>
      </w:tr>
      <w:tr>
        <w:tc>
          <w:tcPr>
            <w:tcW w:type="dxa" w:w="2268"/>
          </w:tcPr>
          <w:p>
            <w:r>
              <w:rPr>
                <w:rFonts w:ascii="Calibri" w:hAnsi="Calibri"/>
                <w:b w:val="0"/>
                <w:sz w:val="18"/>
              </w:rPr>
              <w:t>Total Borrows Added</w:t>
            </w:r>
          </w:p>
        </w:tc>
        <w:tc>
          <w:tcPr>
            <w:tcW w:type="dxa" w:w="6803"/>
          </w:tcPr>
          <w:p>
            <w:r>
              <w:rPr>
                <w:rFonts w:ascii="Calibri" w:hAnsi="Calibri"/>
                <w:b w:val="0"/>
                <w:sz w:val="18"/>
              </w:rPr>
              <w:t>1,660.00 USDC</w:t>
            </w:r>
          </w:p>
        </w:tc>
      </w:tr>
      <w:tr>
        <w:tc>
          <w:tcPr>
            <w:tcW w:type="dxa" w:w="2268"/>
            <w:shd w:fill="F5F5FA"/>
          </w:tcPr>
          <w:p>
            <w:r>
              <w:rPr>
                <w:rFonts w:ascii="Calibri" w:hAnsi="Calibri"/>
                <w:b w:val="0"/>
                <w:sz w:val="18"/>
              </w:rPr>
              <w:t>Effective Leverage</w:t>
            </w:r>
          </w:p>
        </w:tc>
        <w:tc>
          <w:tcPr>
            <w:tcW w:type="dxa" w:w="6803"/>
            <w:shd w:fill="F5F5FA"/>
          </w:tcPr>
          <w:p>
            <w:r>
              <w:rPr>
                <w:rFonts w:ascii="Calibri" w:hAnsi="Calibri"/>
                <w:b w:val="0"/>
                <w:sz w:val="18"/>
              </w:rPr>
              <w:t>9.3x</w:t>
            </w:r>
          </w:p>
        </w:tc>
      </w:tr>
    </w:tbl>
    <w:p/>
    <w:p>
      <w:r>
        <w:rPr>
          <w:b/>
        </w:rPr>
        <w:t>Transaction 3 — Leverage Loop (9.3x, 200 USDC)</w:t>
      </w:r>
    </w:p>
    <w:tbl>
      <w:tblPr>
        <w:tblStyle w:val="TableGrid"/>
        <w:tblW w:type="auto" w:w="0"/>
        <w:jc w:val="center"/>
        <w:tblLook w:firstColumn="1" w:firstRow="1" w:lastColumn="0" w:lastRow="0" w:noHBand="0" w:noVBand="1" w:val="04A0"/>
      </w:tblPr>
      <w:tblGrid>
        <w:gridCol w:w="4703"/>
        <w:gridCol w:w="4703"/>
      </w:tblGrid>
      <w:tr>
        <w:tc>
          <w:tcPr>
            <w:tcW w:type="dxa" w:w="2268"/>
            <w:shd w:fill="1A1A2E"/>
          </w:tcPr>
          <w:p>
            <w:pPr>
              <w:jc w:val="left"/>
            </w:pPr>
            <w:r>
              <w:rPr>
                <w:rFonts w:ascii="Calibri" w:hAnsi="Calibri"/>
                <w:b/>
                <w:color w:val="FFFFFF"/>
                <w:sz w:val="18"/>
              </w:rPr>
              <w:t>Field</w:t>
            </w:r>
          </w:p>
        </w:tc>
        <w:tc>
          <w:tcPr>
            <w:tcW w:type="dxa" w:w="6803"/>
            <w:shd w:fill="1A1A2E"/>
          </w:tcPr>
          <w:p>
            <w:pPr>
              <w:jc w:val="left"/>
            </w:pPr>
            <w:r>
              <w:rPr>
                <w:rFonts w:ascii="Calibri" w:hAnsi="Calibri"/>
                <w:b/>
                <w:color w:val="FFFFFF"/>
                <w:sz w:val="18"/>
              </w:rPr>
              <w:t>Value</w:t>
            </w:r>
          </w:p>
        </w:tc>
      </w:tr>
      <w:tr>
        <w:tc>
          <w:tcPr>
            <w:tcW w:type="dxa" w:w="2268"/>
          </w:tcPr>
          <w:p>
            <w:r>
              <w:rPr>
                <w:rFonts w:ascii="Calibri" w:hAnsi="Calibri"/>
                <w:b w:val="0"/>
                <w:sz w:val="18"/>
              </w:rPr>
              <w:t>TX Hash</w:t>
            </w:r>
          </w:p>
        </w:tc>
        <w:tc>
          <w:tcPr>
            <w:tcW w:type="dxa" w:w="6803"/>
          </w:tcPr>
          <w:p>
            <w:r>
              <w:rPr>
                <w:rFonts w:ascii="Calibri" w:hAnsi="Calibri"/>
                <w:b w:val="0"/>
                <w:sz w:val="18"/>
              </w:rPr>
              <w:t>1f1ad7e2283a4d539aa6b136cbf7b1b6a10260d1d3cb883ef660cdd61fb152b0</w:t>
            </w:r>
          </w:p>
        </w:tc>
      </w:tr>
      <w:tr>
        <w:tc>
          <w:tcPr>
            <w:tcW w:type="dxa" w:w="2268"/>
            <w:shd w:fill="F5F5FA"/>
          </w:tcPr>
          <w:p>
            <w:r>
              <w:rPr>
                <w:rFonts w:ascii="Calibri" w:hAnsi="Calibri"/>
                <w:b w:val="0"/>
                <w:sz w:val="18"/>
              </w:rPr>
              <w:t>Timestamp</w:t>
            </w:r>
          </w:p>
        </w:tc>
        <w:tc>
          <w:tcPr>
            <w:tcW w:type="dxa" w:w="6803"/>
            <w:shd w:fill="F5F5FA"/>
          </w:tcPr>
          <w:p>
            <w:r>
              <w:rPr>
                <w:rFonts w:ascii="Calibri" w:hAnsi="Calibri"/>
                <w:b w:val="0"/>
                <w:sz w:val="18"/>
              </w:rPr>
              <w:t>2026-03-13 00:38:23 UTC</w:t>
            </w:r>
          </w:p>
        </w:tc>
      </w:tr>
      <w:tr>
        <w:tc>
          <w:tcPr>
            <w:tcW w:type="dxa" w:w="2268"/>
          </w:tcPr>
          <w:p>
            <w:r>
              <w:rPr>
                <w:rFonts w:ascii="Calibri" w:hAnsi="Calibri"/>
                <w:b w:val="0"/>
                <w:sz w:val="18"/>
              </w:rPr>
              <w:t>Ledger</w:t>
            </w:r>
          </w:p>
        </w:tc>
        <w:tc>
          <w:tcPr>
            <w:tcW w:type="dxa" w:w="6803"/>
          </w:tcPr>
          <w:p>
            <w:r>
              <w:rPr>
                <w:rFonts w:ascii="Calibri" w:hAnsi="Calibri"/>
                <w:b w:val="0"/>
                <w:sz w:val="18"/>
              </w:rPr>
              <w:t>61,625,450</w:t>
            </w:r>
          </w:p>
        </w:tc>
      </w:tr>
      <w:tr>
        <w:tc>
          <w:tcPr>
            <w:tcW w:type="dxa" w:w="2268"/>
            <w:shd w:fill="F5F5FA"/>
          </w:tcPr>
          <w:p>
            <w:r>
              <w:rPr>
                <w:rFonts w:ascii="Calibri" w:hAnsi="Calibri"/>
                <w:b w:val="0"/>
                <w:sz w:val="18"/>
              </w:rPr>
              <w:t>Total Supply Added</w:t>
            </w:r>
          </w:p>
        </w:tc>
        <w:tc>
          <w:tcPr>
            <w:tcW w:type="dxa" w:w="6803"/>
            <w:shd w:fill="F5F5FA"/>
          </w:tcPr>
          <w:p>
            <w:r>
              <w:rPr>
                <w:rFonts w:ascii="Calibri" w:hAnsi="Calibri"/>
                <w:b w:val="0"/>
                <w:sz w:val="18"/>
              </w:rPr>
              <w:t>1,860.26 USDC</w:t>
            </w:r>
          </w:p>
        </w:tc>
      </w:tr>
      <w:tr>
        <w:tc>
          <w:tcPr>
            <w:tcW w:type="dxa" w:w="2268"/>
          </w:tcPr>
          <w:p>
            <w:r>
              <w:rPr>
                <w:rFonts w:ascii="Calibri" w:hAnsi="Calibri"/>
                <w:b w:val="0"/>
                <w:sz w:val="18"/>
              </w:rPr>
              <w:t>Total Borrows Added</w:t>
            </w:r>
          </w:p>
        </w:tc>
        <w:tc>
          <w:tcPr>
            <w:tcW w:type="dxa" w:w="6803"/>
          </w:tcPr>
          <w:p>
            <w:r>
              <w:rPr>
                <w:rFonts w:ascii="Calibri" w:hAnsi="Calibri"/>
                <w:b w:val="0"/>
                <w:sz w:val="18"/>
              </w:rPr>
              <w:t>1,660.23 USDC</w:t>
            </w:r>
          </w:p>
        </w:tc>
      </w:tr>
      <w:tr>
        <w:tc>
          <w:tcPr>
            <w:tcW w:type="dxa" w:w="2268"/>
            <w:shd w:fill="F5F5FA"/>
          </w:tcPr>
          <w:p>
            <w:r>
              <w:rPr>
                <w:rFonts w:ascii="Calibri" w:hAnsi="Calibri"/>
                <w:b w:val="0"/>
                <w:sz w:val="18"/>
              </w:rPr>
              <w:t>Effective Leverage</w:t>
            </w:r>
          </w:p>
        </w:tc>
        <w:tc>
          <w:tcPr>
            <w:tcW w:type="dxa" w:w="6803"/>
            <w:shd w:fill="F5F5FA"/>
          </w:tcPr>
          <w:p>
            <w:r>
              <w:rPr>
                <w:rFonts w:ascii="Calibri" w:hAnsi="Calibri"/>
                <w:b w:val="0"/>
                <w:sz w:val="18"/>
              </w:rPr>
              <w:t>9.3x</w:t>
            </w:r>
          </w:p>
        </w:tc>
      </w:tr>
    </w:tbl>
    <w:p/>
    <w:p>
      <w:r>
        <w:rPr>
          <w:b/>
        </w:rPr>
        <w:t>Transaction 4 — Leverage Loop (10x, 1,000 USDC)</w:t>
      </w:r>
    </w:p>
    <w:tbl>
      <w:tblPr>
        <w:tblStyle w:val="TableGrid"/>
        <w:tblW w:type="auto" w:w="0"/>
        <w:jc w:val="center"/>
        <w:tblLook w:firstColumn="1" w:firstRow="1" w:lastColumn="0" w:lastRow="0" w:noHBand="0" w:noVBand="1" w:val="04A0"/>
      </w:tblPr>
      <w:tblGrid>
        <w:gridCol w:w="4703"/>
        <w:gridCol w:w="4703"/>
      </w:tblGrid>
      <w:tr>
        <w:tc>
          <w:tcPr>
            <w:tcW w:type="dxa" w:w="2268"/>
            <w:shd w:fill="1A1A2E"/>
          </w:tcPr>
          <w:p>
            <w:pPr>
              <w:jc w:val="left"/>
            </w:pPr>
            <w:r>
              <w:rPr>
                <w:rFonts w:ascii="Calibri" w:hAnsi="Calibri"/>
                <w:b/>
                <w:color w:val="FFFFFF"/>
                <w:sz w:val="18"/>
              </w:rPr>
              <w:t>Field</w:t>
            </w:r>
          </w:p>
        </w:tc>
        <w:tc>
          <w:tcPr>
            <w:tcW w:type="dxa" w:w="6803"/>
            <w:shd w:fill="1A1A2E"/>
          </w:tcPr>
          <w:p>
            <w:pPr>
              <w:jc w:val="left"/>
            </w:pPr>
            <w:r>
              <w:rPr>
                <w:rFonts w:ascii="Calibri" w:hAnsi="Calibri"/>
                <w:b/>
                <w:color w:val="FFFFFF"/>
                <w:sz w:val="18"/>
              </w:rPr>
              <w:t>Value</w:t>
            </w:r>
          </w:p>
        </w:tc>
      </w:tr>
      <w:tr>
        <w:tc>
          <w:tcPr>
            <w:tcW w:type="dxa" w:w="2268"/>
          </w:tcPr>
          <w:p>
            <w:r>
              <w:rPr>
                <w:rFonts w:ascii="Calibri" w:hAnsi="Calibri"/>
                <w:b w:val="0"/>
                <w:sz w:val="18"/>
              </w:rPr>
              <w:t>TX Hash</w:t>
            </w:r>
          </w:p>
        </w:tc>
        <w:tc>
          <w:tcPr>
            <w:tcW w:type="dxa" w:w="6803"/>
          </w:tcPr>
          <w:p>
            <w:r>
              <w:rPr>
                <w:rFonts w:ascii="Calibri" w:hAnsi="Calibri"/>
                <w:b w:val="0"/>
                <w:sz w:val="18"/>
              </w:rPr>
              <w:t>a2d970953c6ec26e6a24...</w:t>
            </w:r>
          </w:p>
        </w:tc>
      </w:tr>
      <w:tr>
        <w:tc>
          <w:tcPr>
            <w:tcW w:type="dxa" w:w="2268"/>
            <w:shd w:fill="F5F5FA"/>
          </w:tcPr>
          <w:p>
            <w:r>
              <w:rPr>
                <w:rFonts w:ascii="Calibri" w:hAnsi="Calibri"/>
                <w:b w:val="0"/>
                <w:sz w:val="18"/>
              </w:rPr>
              <w:t>Timestamp</w:t>
            </w:r>
          </w:p>
        </w:tc>
        <w:tc>
          <w:tcPr>
            <w:tcW w:type="dxa" w:w="6803"/>
            <w:shd w:fill="F5F5FA"/>
          </w:tcPr>
          <w:p>
            <w:r>
              <w:rPr>
                <w:rFonts w:ascii="Calibri" w:hAnsi="Calibri"/>
                <w:b w:val="0"/>
                <w:sz w:val="18"/>
              </w:rPr>
              <w:t>2026-03-13 22:49:13 UTC</w:t>
            </w:r>
          </w:p>
        </w:tc>
      </w:tr>
      <w:tr>
        <w:tc>
          <w:tcPr>
            <w:tcW w:type="dxa" w:w="2268"/>
          </w:tcPr>
          <w:p>
            <w:r>
              <w:rPr>
                <w:rFonts w:ascii="Calibri" w:hAnsi="Calibri"/>
                <w:b w:val="0"/>
                <w:sz w:val="18"/>
              </w:rPr>
              <w:t>Ledger</w:t>
            </w:r>
          </w:p>
        </w:tc>
        <w:tc>
          <w:tcPr>
            <w:tcW w:type="dxa" w:w="6803"/>
          </w:tcPr>
          <w:p>
            <w:r>
              <w:rPr>
                <w:rFonts w:ascii="Calibri" w:hAnsi="Calibri"/>
                <w:b w:val="0"/>
                <w:sz w:val="18"/>
              </w:rPr>
              <w:t>61,639,085</w:t>
            </w:r>
          </w:p>
        </w:tc>
      </w:tr>
      <w:tr>
        <w:tc>
          <w:tcPr>
            <w:tcW w:type="dxa" w:w="2268"/>
            <w:shd w:fill="F5F5FA"/>
          </w:tcPr>
          <w:p>
            <w:r>
              <w:rPr>
                <w:rFonts w:ascii="Calibri" w:hAnsi="Calibri"/>
                <w:b w:val="0"/>
                <w:sz w:val="18"/>
              </w:rPr>
              <w:t>Total Supply Added</w:t>
            </w:r>
          </w:p>
        </w:tc>
        <w:tc>
          <w:tcPr>
            <w:tcW w:type="dxa" w:w="6803"/>
            <w:shd w:fill="F5F5FA"/>
          </w:tcPr>
          <w:p>
            <w:r>
              <w:rPr>
                <w:rFonts w:ascii="Calibri" w:hAnsi="Calibri"/>
                <w:b w:val="0"/>
                <w:sz w:val="18"/>
              </w:rPr>
              <w:t>~10,000 USDC</w:t>
            </w:r>
          </w:p>
        </w:tc>
      </w:tr>
      <w:tr>
        <w:tc>
          <w:tcPr>
            <w:tcW w:type="dxa" w:w="2268"/>
          </w:tcPr>
          <w:p>
            <w:r>
              <w:rPr>
                <w:rFonts w:ascii="Calibri" w:hAnsi="Calibri"/>
                <w:b w:val="0"/>
                <w:sz w:val="18"/>
              </w:rPr>
              <w:t>Total Borrows Added</w:t>
            </w:r>
          </w:p>
        </w:tc>
        <w:tc>
          <w:tcPr>
            <w:tcW w:type="dxa" w:w="6803"/>
          </w:tcPr>
          <w:p>
            <w:r>
              <w:rPr>
                <w:rFonts w:ascii="Calibri" w:hAnsi="Calibri"/>
                <w:b w:val="0"/>
                <w:sz w:val="18"/>
              </w:rPr>
              <w:t>~9,000 USDC</w:t>
            </w:r>
          </w:p>
        </w:tc>
      </w:tr>
      <w:tr>
        <w:tc>
          <w:tcPr>
            <w:tcW w:type="dxa" w:w="2268"/>
            <w:shd w:fill="F5F5FA"/>
          </w:tcPr>
          <w:p>
            <w:r>
              <w:rPr>
                <w:rFonts w:ascii="Calibri" w:hAnsi="Calibri"/>
                <w:b w:val="0"/>
                <w:sz w:val="18"/>
              </w:rPr>
              <w:t>Effective Leverage</w:t>
            </w:r>
          </w:p>
        </w:tc>
        <w:tc>
          <w:tcPr>
            <w:tcW w:type="dxa" w:w="6803"/>
            <w:shd w:fill="F5F5FA"/>
          </w:tcPr>
          <w:p>
            <w:r>
              <w:rPr>
                <w:rFonts w:ascii="Calibri" w:hAnsi="Calibri"/>
                <w:b w:val="0"/>
                <w:sz w:val="18"/>
              </w:rPr>
              <w:t>~10x</w:t>
            </w:r>
          </w:p>
        </w:tc>
      </w:tr>
    </w:tbl>
    <w:p/>
    <w:p>
      <w:r>
        <w:rPr>
          <w:b/>
        </w:rPr>
        <w:t>Transaction 5 — Leverage Loop (10x, 10,200 USDC)</w:t>
      </w:r>
    </w:p>
    <w:tbl>
      <w:tblPr>
        <w:tblStyle w:val="TableGrid"/>
        <w:tblW w:type="auto" w:w="0"/>
        <w:jc w:val="center"/>
        <w:tblLook w:firstColumn="1" w:firstRow="1" w:lastColumn="0" w:lastRow="0" w:noHBand="0" w:noVBand="1" w:val="04A0"/>
      </w:tblPr>
      <w:tblGrid>
        <w:gridCol w:w="4703"/>
        <w:gridCol w:w="4703"/>
      </w:tblGrid>
      <w:tr>
        <w:tc>
          <w:tcPr>
            <w:tcW w:type="dxa" w:w="2268"/>
            <w:shd w:fill="1A1A2E"/>
          </w:tcPr>
          <w:p>
            <w:pPr>
              <w:jc w:val="left"/>
            </w:pPr>
            <w:r>
              <w:rPr>
                <w:rFonts w:ascii="Calibri" w:hAnsi="Calibri"/>
                <w:b/>
                <w:color w:val="FFFFFF"/>
                <w:sz w:val="18"/>
              </w:rPr>
              <w:t>Field</w:t>
            </w:r>
          </w:p>
        </w:tc>
        <w:tc>
          <w:tcPr>
            <w:tcW w:type="dxa" w:w="6803"/>
            <w:shd w:fill="1A1A2E"/>
          </w:tcPr>
          <w:p>
            <w:pPr>
              <w:jc w:val="left"/>
            </w:pPr>
            <w:r>
              <w:rPr>
                <w:rFonts w:ascii="Calibri" w:hAnsi="Calibri"/>
                <w:b/>
                <w:color w:val="FFFFFF"/>
                <w:sz w:val="18"/>
              </w:rPr>
              <w:t>Value</w:t>
            </w:r>
          </w:p>
        </w:tc>
      </w:tr>
      <w:tr>
        <w:tc>
          <w:tcPr>
            <w:tcW w:type="dxa" w:w="2268"/>
          </w:tcPr>
          <w:p>
            <w:r>
              <w:rPr>
                <w:rFonts w:ascii="Calibri" w:hAnsi="Calibri"/>
                <w:b w:val="0"/>
                <w:sz w:val="18"/>
              </w:rPr>
              <w:t>TX Hash</w:t>
            </w:r>
          </w:p>
        </w:tc>
        <w:tc>
          <w:tcPr>
            <w:tcW w:type="dxa" w:w="6803"/>
          </w:tcPr>
          <w:p>
            <w:r>
              <w:rPr>
                <w:rFonts w:ascii="Calibri" w:hAnsi="Calibri"/>
                <w:b w:val="0"/>
                <w:sz w:val="18"/>
              </w:rPr>
              <w:t>485e928372ab48915712...</w:t>
            </w:r>
          </w:p>
        </w:tc>
      </w:tr>
      <w:tr>
        <w:tc>
          <w:tcPr>
            <w:tcW w:type="dxa" w:w="2268"/>
            <w:shd w:fill="F5F5FA"/>
          </w:tcPr>
          <w:p>
            <w:r>
              <w:rPr>
                <w:rFonts w:ascii="Calibri" w:hAnsi="Calibri"/>
                <w:b w:val="0"/>
                <w:sz w:val="18"/>
              </w:rPr>
              <w:t>Timestamp</w:t>
            </w:r>
          </w:p>
        </w:tc>
        <w:tc>
          <w:tcPr>
            <w:tcW w:type="dxa" w:w="6803"/>
            <w:shd w:fill="F5F5FA"/>
          </w:tcPr>
          <w:p>
            <w:r>
              <w:rPr>
                <w:rFonts w:ascii="Calibri" w:hAnsi="Calibri"/>
                <w:b w:val="0"/>
                <w:sz w:val="18"/>
              </w:rPr>
              <w:t>2026-03-13 22:52:09 UTC</w:t>
            </w:r>
          </w:p>
        </w:tc>
      </w:tr>
      <w:tr>
        <w:tc>
          <w:tcPr>
            <w:tcW w:type="dxa" w:w="2268"/>
          </w:tcPr>
          <w:p>
            <w:r>
              <w:rPr>
                <w:rFonts w:ascii="Calibri" w:hAnsi="Calibri"/>
                <w:b w:val="0"/>
                <w:sz w:val="18"/>
              </w:rPr>
              <w:t>Ledger</w:t>
            </w:r>
          </w:p>
        </w:tc>
        <w:tc>
          <w:tcPr>
            <w:tcW w:type="dxa" w:w="6803"/>
          </w:tcPr>
          <w:p>
            <w:r>
              <w:rPr>
                <w:rFonts w:ascii="Calibri" w:hAnsi="Calibri"/>
                <w:b w:val="0"/>
                <w:sz w:val="18"/>
              </w:rPr>
              <w:t>61,639,102</w:t>
            </w:r>
          </w:p>
        </w:tc>
      </w:tr>
      <w:tr>
        <w:tc>
          <w:tcPr>
            <w:tcW w:type="dxa" w:w="2268"/>
            <w:shd w:fill="F5F5FA"/>
          </w:tcPr>
          <w:p>
            <w:r>
              <w:rPr>
                <w:rFonts w:ascii="Calibri" w:hAnsi="Calibri"/>
                <w:b w:val="0"/>
                <w:sz w:val="18"/>
              </w:rPr>
              <w:t>Total Supply Added</w:t>
            </w:r>
          </w:p>
        </w:tc>
        <w:tc>
          <w:tcPr>
            <w:tcW w:type="dxa" w:w="6803"/>
            <w:shd w:fill="F5F5FA"/>
          </w:tcPr>
          <w:p>
            <w:r>
              <w:rPr>
                <w:rFonts w:ascii="Calibri" w:hAnsi="Calibri"/>
                <w:b w:val="0"/>
                <w:sz w:val="18"/>
              </w:rPr>
              <w:t>~102,000 USDC</w:t>
            </w:r>
          </w:p>
        </w:tc>
      </w:tr>
      <w:tr>
        <w:tc>
          <w:tcPr>
            <w:tcW w:type="dxa" w:w="2268"/>
          </w:tcPr>
          <w:p>
            <w:r>
              <w:rPr>
                <w:rFonts w:ascii="Calibri" w:hAnsi="Calibri"/>
                <w:b w:val="0"/>
                <w:sz w:val="18"/>
              </w:rPr>
              <w:t>Total Borrows Added</w:t>
            </w:r>
          </w:p>
        </w:tc>
        <w:tc>
          <w:tcPr>
            <w:tcW w:type="dxa" w:w="6803"/>
          </w:tcPr>
          <w:p>
            <w:r>
              <w:rPr>
                <w:rFonts w:ascii="Calibri" w:hAnsi="Calibri"/>
                <w:b w:val="0"/>
                <w:sz w:val="18"/>
              </w:rPr>
              <w:t>~91,800 USDC</w:t>
            </w:r>
          </w:p>
        </w:tc>
      </w:tr>
      <w:tr>
        <w:tc>
          <w:tcPr>
            <w:tcW w:type="dxa" w:w="2268"/>
            <w:shd w:fill="F5F5FA"/>
          </w:tcPr>
          <w:p>
            <w:r>
              <w:rPr>
                <w:rFonts w:ascii="Calibri" w:hAnsi="Calibri"/>
                <w:b w:val="0"/>
                <w:sz w:val="18"/>
              </w:rPr>
              <w:t>Effective Leverage</w:t>
            </w:r>
          </w:p>
        </w:tc>
        <w:tc>
          <w:tcPr>
            <w:tcW w:type="dxa" w:w="6803"/>
            <w:shd w:fill="F5F5FA"/>
          </w:tcPr>
          <w:p>
            <w:r>
              <w:rPr>
                <w:rFonts w:ascii="Calibri" w:hAnsi="Calibri"/>
                <w:b w:val="0"/>
                <w:sz w:val="18"/>
              </w:rPr>
              <w:t>~10x</w:t>
            </w:r>
          </w:p>
        </w:tc>
      </w:tr>
    </w:tbl>
    <w:p/>
    <w:p>
      <w:pPr>
        <w:spacing w:before="240"/>
      </w:pPr>
      <w:r>
        <w:rPr>
          <w:b/>
          <w:color w:val="C62828"/>
        </w:rPr>
        <w:t>Phase 2 — Withdrawals During Suppressed Utilization</w:t>
      </w:r>
    </w:p>
    <w:p>
      <w:r>
        <w:t>While leverage loops were active, Wallet A executed withdrawals from the pool that would not have been possible at the pool's true utilization rate: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1A1A2E"/>
          </w:tcPr>
          <w:p>
            <w:pPr>
              <w:jc w:val="left"/>
            </w:pPr>
            <w:r>
              <w:rPr>
                <w:rFonts w:ascii="Calibri" w:hAnsi="Calibri"/>
                <w:b/>
                <w:color w:val="FFFFFF"/>
                <w:sz w:val="18"/>
              </w:rPr>
              <w:t>Timestamp (UTC)</w:t>
            </w:r>
          </w:p>
        </w:tc>
        <w:tc>
          <w:tcPr>
            <w:tcW w:type="dxa" w:w="1984"/>
            <w:shd w:fill="1A1A2E"/>
          </w:tcPr>
          <w:p>
            <w:pPr>
              <w:jc w:val="left"/>
            </w:pPr>
            <w:r>
              <w:rPr>
                <w:rFonts w:ascii="Calibri" w:hAnsi="Calibri"/>
                <w:b/>
                <w:color w:val="FFFFFF"/>
                <w:sz w:val="18"/>
              </w:rPr>
              <w:t>Event</w:t>
            </w:r>
          </w:p>
        </w:tc>
        <w:tc>
          <w:tcPr>
            <w:tcW w:type="dxa" w:w="1701"/>
            <w:shd w:fill="1A1A2E"/>
          </w:tcPr>
          <w:p>
            <w:pPr>
              <w:jc w:val="left"/>
            </w:pPr>
            <w:r>
              <w:rPr>
                <w:rFonts w:ascii="Calibri" w:hAnsi="Calibri"/>
                <w:b/>
                <w:color w:val="FFFFFF"/>
                <w:sz w:val="18"/>
              </w:rPr>
              <w:t>Amount (USDC)</w:t>
            </w:r>
          </w:p>
        </w:tc>
        <w:tc>
          <w:tcPr>
            <w:tcW w:type="dxa" w:w="2551"/>
            <w:shd w:fill="1A1A2E"/>
          </w:tcPr>
          <w:p>
            <w:pPr>
              <w:jc w:val="left"/>
            </w:pPr>
            <w:r>
              <w:rPr>
                <w:rFonts w:ascii="Calibri" w:hAnsi="Calibri"/>
                <w:b/>
                <w:color w:val="FFFFFF"/>
                <w:sz w:val="18"/>
              </w:rPr>
              <w:t>TX Hash (prefix)</w:t>
            </w:r>
          </w:p>
        </w:tc>
      </w:tr>
      <w:tr>
        <w:tc>
          <w:tcPr>
            <w:tcW w:type="dxa" w:w="2268"/>
          </w:tcPr>
          <w:p>
            <w:r>
              <w:rPr>
                <w:rFonts w:ascii="Calibri" w:hAnsi="Calibri"/>
                <w:b w:val="0"/>
                <w:sz w:val="18"/>
              </w:rPr>
              <w:t>2026-03-13 22:19:22</w:t>
            </w:r>
          </w:p>
        </w:tc>
        <w:tc>
          <w:tcPr>
            <w:tcW w:type="dxa" w:w="1984"/>
          </w:tcPr>
          <w:p>
            <w:r>
              <w:rPr>
                <w:rFonts w:ascii="Calibri" w:hAnsi="Calibri"/>
                <w:b w:val="0"/>
                <w:sz w:val="18"/>
              </w:rPr>
              <w:t>withdraw_collateral</w:t>
            </w:r>
          </w:p>
        </w:tc>
        <w:tc>
          <w:tcPr>
            <w:tcW w:type="dxa" w:w="1701"/>
          </w:tcPr>
          <w:p>
            <w:r>
              <w:rPr>
                <w:rFonts w:ascii="Calibri" w:hAnsi="Calibri"/>
                <w:b w:val="0"/>
                <w:sz w:val="18"/>
              </w:rPr>
              <w:t>318,131.16</w:t>
            </w:r>
          </w:p>
        </w:tc>
        <w:tc>
          <w:tcPr>
            <w:tcW w:type="dxa" w:w="2551"/>
          </w:tcPr>
          <w:p>
            <w:r>
              <w:rPr>
                <w:rFonts w:ascii="Calibri" w:hAnsi="Calibri"/>
                <w:b w:val="0"/>
                <w:sz w:val="18"/>
              </w:rPr>
              <w:t>c3b9fe7b...</w:t>
            </w:r>
          </w:p>
        </w:tc>
      </w:tr>
      <w:tr>
        <w:tc>
          <w:tcPr>
            <w:tcW w:type="dxa" w:w="2268"/>
            <w:shd w:fill="F5F5FA"/>
          </w:tcPr>
          <w:p>
            <w:r>
              <w:rPr>
                <w:rFonts w:ascii="Calibri" w:hAnsi="Calibri"/>
                <w:b w:val="0"/>
                <w:sz w:val="18"/>
              </w:rPr>
              <w:t>2026-03-13 22:20:43</w:t>
            </w:r>
          </w:p>
        </w:tc>
        <w:tc>
          <w:tcPr>
            <w:tcW w:type="dxa" w:w="1984"/>
            <w:shd w:fill="F5F5FA"/>
          </w:tcPr>
          <w:p>
            <w:r>
              <w:rPr>
                <w:rFonts w:ascii="Calibri" w:hAnsi="Calibri"/>
                <w:b w:val="0"/>
                <w:sz w:val="18"/>
              </w:rPr>
              <w:t>withdraw_collateral</w:t>
            </w:r>
          </w:p>
        </w:tc>
        <w:tc>
          <w:tcPr>
            <w:tcW w:type="dxa" w:w="1701"/>
            <w:shd w:fill="F5F5FA"/>
          </w:tcPr>
          <w:p>
            <w:r>
              <w:rPr>
                <w:rFonts w:ascii="Calibri" w:hAnsi="Calibri"/>
                <w:b w:val="0"/>
                <w:sz w:val="18"/>
              </w:rPr>
              <w:t>110,000.00</w:t>
            </w:r>
          </w:p>
        </w:tc>
        <w:tc>
          <w:tcPr>
            <w:tcW w:type="dxa" w:w="2551"/>
            <w:shd w:fill="F5F5FA"/>
          </w:tcPr>
          <w:p>
            <w:r>
              <w:rPr>
                <w:rFonts w:ascii="Calibri" w:hAnsi="Calibri"/>
                <w:b w:val="0"/>
                <w:sz w:val="18"/>
              </w:rPr>
              <w:t>3cf3e120...</w:t>
            </w:r>
          </w:p>
        </w:tc>
      </w:tr>
      <w:tr>
        <w:tc>
          <w:tcPr>
            <w:tcW w:type="dxa" w:w="2268"/>
          </w:tcPr>
          <w:p>
            <w:r>
              <w:rPr>
                <w:rFonts w:ascii="Calibri" w:hAnsi="Calibri"/>
                <w:b w:val="0"/>
                <w:sz w:val="18"/>
              </w:rPr>
              <w:t>2026-03-13 22:22:19</w:t>
            </w:r>
          </w:p>
        </w:tc>
        <w:tc>
          <w:tcPr>
            <w:tcW w:type="dxa" w:w="1984"/>
          </w:tcPr>
          <w:p>
            <w:r>
              <w:rPr>
                <w:rFonts w:ascii="Calibri" w:hAnsi="Calibri"/>
                <w:b w:val="0"/>
                <w:sz w:val="18"/>
              </w:rPr>
              <w:t>withdraw_collateral</w:t>
            </w:r>
          </w:p>
        </w:tc>
        <w:tc>
          <w:tcPr>
            <w:tcW w:type="dxa" w:w="1701"/>
          </w:tcPr>
          <w:p>
            <w:r>
              <w:rPr>
                <w:rFonts w:ascii="Calibri" w:hAnsi="Calibri"/>
                <w:b w:val="0"/>
                <w:sz w:val="18"/>
              </w:rPr>
              <w:t>27,000.00</w:t>
            </w:r>
          </w:p>
        </w:tc>
        <w:tc>
          <w:tcPr>
            <w:tcW w:type="dxa" w:w="2551"/>
          </w:tcPr>
          <w:p>
            <w:r>
              <w:rPr>
                <w:rFonts w:ascii="Calibri" w:hAnsi="Calibri"/>
                <w:b w:val="0"/>
                <w:sz w:val="18"/>
              </w:rPr>
              <w:t>f183e170...</w:t>
            </w:r>
          </w:p>
        </w:tc>
      </w:tr>
      <w:tr>
        <w:tc>
          <w:tcPr>
            <w:tcW w:type="dxa" w:w="2268"/>
            <w:shd w:fill="F5F5FA"/>
          </w:tcPr>
          <w:p>
            <w:r>
              <w:rPr>
                <w:rFonts w:ascii="Calibri" w:hAnsi="Calibri"/>
                <w:b w:val="0"/>
                <w:sz w:val="18"/>
              </w:rPr>
              <w:t>2026-03-13 22:23:11</w:t>
            </w:r>
          </w:p>
        </w:tc>
        <w:tc>
          <w:tcPr>
            <w:tcW w:type="dxa" w:w="1984"/>
            <w:shd w:fill="F5F5FA"/>
          </w:tcPr>
          <w:p>
            <w:r>
              <w:rPr>
                <w:rFonts w:ascii="Calibri" w:hAnsi="Calibri"/>
                <w:b w:val="0"/>
                <w:sz w:val="18"/>
              </w:rPr>
              <w:t>withdraw_collateral</w:t>
            </w:r>
          </w:p>
        </w:tc>
        <w:tc>
          <w:tcPr>
            <w:tcW w:type="dxa" w:w="1701"/>
            <w:shd w:fill="F5F5FA"/>
          </w:tcPr>
          <w:p>
            <w:r>
              <w:rPr>
                <w:rFonts w:ascii="Calibri" w:hAnsi="Calibri"/>
                <w:b w:val="0"/>
                <w:sz w:val="18"/>
              </w:rPr>
              <w:t>18,950.02</w:t>
            </w:r>
          </w:p>
        </w:tc>
        <w:tc>
          <w:tcPr>
            <w:tcW w:type="dxa" w:w="2551"/>
            <w:shd w:fill="F5F5FA"/>
          </w:tcPr>
          <w:p>
            <w:r>
              <w:rPr>
                <w:rFonts w:ascii="Calibri" w:hAnsi="Calibri"/>
                <w:b w:val="0"/>
                <w:sz w:val="18"/>
              </w:rPr>
              <w:t>b2ee3423...</w:t>
            </w:r>
          </w:p>
        </w:tc>
      </w:tr>
      <w:tr>
        <w:tc>
          <w:tcPr>
            <w:tcW w:type="dxa" w:w="2268"/>
          </w:tcPr>
          <w:p>
            <w:r>
              <w:rPr>
                <w:rFonts w:ascii="Calibri" w:hAnsi="Calibri"/>
                <w:b w:val="0"/>
                <w:sz w:val="18"/>
              </w:rPr>
              <w:t>2026-03-13 22:25:05</w:t>
            </w:r>
          </w:p>
        </w:tc>
        <w:tc>
          <w:tcPr>
            <w:tcW w:type="dxa" w:w="1984"/>
          </w:tcPr>
          <w:p>
            <w:r>
              <w:rPr>
                <w:rFonts w:ascii="Calibri" w:hAnsi="Calibri"/>
                <w:b w:val="0"/>
                <w:sz w:val="18"/>
              </w:rPr>
              <w:t>withdraw_collateral</w:t>
            </w:r>
          </w:p>
        </w:tc>
        <w:tc>
          <w:tcPr>
            <w:tcW w:type="dxa" w:w="1701"/>
          </w:tcPr>
          <w:p>
            <w:r>
              <w:rPr>
                <w:rFonts w:ascii="Calibri" w:hAnsi="Calibri"/>
                <w:b w:val="0"/>
                <w:sz w:val="18"/>
              </w:rPr>
              <w:t>30,010.00</w:t>
            </w:r>
          </w:p>
        </w:tc>
        <w:tc>
          <w:tcPr>
            <w:tcW w:type="dxa" w:w="2551"/>
          </w:tcPr>
          <w:p>
            <w:r>
              <w:rPr>
                <w:rFonts w:ascii="Calibri" w:hAnsi="Calibri"/>
                <w:b w:val="0"/>
                <w:sz w:val="18"/>
              </w:rPr>
              <w:t>8a2c6c84...</w:t>
            </w:r>
          </w:p>
        </w:tc>
      </w:tr>
      <w:tr>
        <w:tc>
          <w:tcPr>
            <w:tcW w:type="dxa" w:w="2268"/>
            <w:shd w:fill="F5F5FA"/>
          </w:tcPr>
          <w:p>
            <w:r>
              <w:rPr>
                <w:rFonts w:ascii="Calibri" w:hAnsi="Calibri"/>
                <w:b w:val="0"/>
                <w:sz w:val="18"/>
              </w:rPr>
              <w:t>2026-03-13 22:25:51</w:t>
            </w:r>
          </w:p>
        </w:tc>
        <w:tc>
          <w:tcPr>
            <w:tcW w:type="dxa" w:w="1984"/>
            <w:shd w:fill="F5F5FA"/>
          </w:tcPr>
          <w:p>
            <w:r>
              <w:rPr>
                <w:rFonts w:ascii="Calibri" w:hAnsi="Calibri"/>
                <w:b w:val="0"/>
                <w:sz w:val="18"/>
              </w:rPr>
              <w:t>withdraw_collateral</w:t>
            </w:r>
          </w:p>
        </w:tc>
        <w:tc>
          <w:tcPr>
            <w:tcW w:type="dxa" w:w="1701"/>
            <w:shd w:fill="F5F5FA"/>
          </w:tcPr>
          <w:p>
            <w:r>
              <w:rPr>
                <w:rFonts w:ascii="Calibri" w:hAnsi="Calibri"/>
                <w:b w:val="0"/>
                <w:sz w:val="18"/>
              </w:rPr>
              <w:t>25,106.92</w:t>
            </w:r>
          </w:p>
        </w:tc>
        <w:tc>
          <w:tcPr>
            <w:tcW w:type="dxa" w:w="2551"/>
            <w:shd w:fill="F5F5FA"/>
          </w:tcPr>
          <w:p>
            <w:r>
              <w:rPr>
                <w:rFonts w:ascii="Calibri" w:hAnsi="Calibri"/>
                <w:b w:val="0"/>
                <w:sz w:val="18"/>
              </w:rPr>
              <w:t>eaf7bbbc...</w:t>
            </w:r>
          </w:p>
        </w:tc>
      </w:tr>
      <w:tr>
        <w:tc>
          <w:tcPr>
            <w:tcW w:type="dxa" w:w="2268"/>
          </w:tcPr>
          <w:p>
            <w:r>
              <w:rPr>
                <w:rFonts w:ascii="Calibri" w:hAnsi="Calibri"/>
                <w:b w:val="0"/>
                <w:sz w:val="18"/>
              </w:rPr>
              <w:t>2026-03-13 22:54:36</w:t>
            </w:r>
          </w:p>
        </w:tc>
        <w:tc>
          <w:tcPr>
            <w:tcW w:type="dxa" w:w="1984"/>
          </w:tcPr>
          <w:p>
            <w:r>
              <w:rPr>
                <w:rFonts w:ascii="Calibri" w:hAnsi="Calibri"/>
                <w:b w:val="0"/>
                <w:sz w:val="18"/>
              </w:rPr>
              <w:t>withdraw_collateral</w:t>
            </w:r>
          </w:p>
        </w:tc>
        <w:tc>
          <w:tcPr>
            <w:tcW w:type="dxa" w:w="1701"/>
          </w:tcPr>
          <w:p>
            <w:r>
              <w:rPr>
                <w:rFonts w:ascii="Calibri" w:hAnsi="Calibri"/>
                <w:b w:val="0"/>
                <w:sz w:val="18"/>
              </w:rPr>
              <w:t>5,614.15</w:t>
            </w:r>
          </w:p>
        </w:tc>
        <w:tc>
          <w:tcPr>
            <w:tcW w:type="dxa" w:w="2551"/>
          </w:tcPr>
          <w:p>
            <w:r>
              <w:rPr>
                <w:rFonts w:ascii="Calibri" w:hAnsi="Calibri"/>
                <w:b w:val="0"/>
                <w:sz w:val="18"/>
              </w:rPr>
              <w:t>8f25cd9e...</w:t>
            </w:r>
          </w:p>
        </w:tc>
      </w:tr>
    </w:tbl>
    <w:p/>
    <w:p>
      <w:pPr>
        <w:spacing w:before="240"/>
      </w:pPr>
      <w:r>
        <w:rPr>
          <w:b/>
          <w:color w:val="C62828"/>
        </w:rPr>
        <w:t>Phase 3 — Loop Unwind and Resulting Pool Degradation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1A1A2E"/>
          </w:tcPr>
          <w:p>
            <w:pPr>
              <w:jc w:val="left"/>
            </w:pPr>
            <w:r>
              <w:rPr>
                <w:rFonts w:ascii="Calibri" w:hAnsi="Calibri"/>
                <w:b/>
                <w:color w:val="FFFFFF"/>
                <w:sz w:val="18"/>
              </w:rPr>
              <w:t>Timestamp (UTC)</w:t>
            </w:r>
          </w:p>
        </w:tc>
        <w:tc>
          <w:tcPr>
            <w:tcW w:type="dxa" w:w="1984"/>
            <w:shd w:fill="1A1A2E"/>
          </w:tcPr>
          <w:p>
            <w:pPr>
              <w:jc w:val="left"/>
            </w:pPr>
            <w:r>
              <w:rPr>
                <w:rFonts w:ascii="Calibri" w:hAnsi="Calibri"/>
                <w:b/>
                <w:color w:val="FFFFFF"/>
                <w:sz w:val="18"/>
              </w:rPr>
              <w:t>Event</w:t>
            </w:r>
          </w:p>
        </w:tc>
        <w:tc>
          <w:tcPr>
            <w:tcW w:type="dxa" w:w="1984"/>
            <w:shd w:fill="1A1A2E"/>
          </w:tcPr>
          <w:p>
            <w:pPr>
              <w:jc w:val="left"/>
            </w:pPr>
            <w:r>
              <w:rPr>
                <w:rFonts w:ascii="Calibri" w:hAnsi="Calibri"/>
                <w:b/>
                <w:color w:val="FFFFFF"/>
                <w:sz w:val="18"/>
              </w:rPr>
              <w:t>Amount (USDC)</w:t>
            </w:r>
          </w:p>
        </w:tc>
        <w:tc>
          <w:tcPr>
            <w:tcW w:type="dxa" w:w="2268"/>
            <w:shd w:fill="1A1A2E"/>
          </w:tcPr>
          <w:p>
            <w:pPr>
              <w:jc w:val="left"/>
            </w:pPr>
            <w:r>
              <w:rPr>
                <w:rFonts w:ascii="Calibri" w:hAnsi="Calibri"/>
                <w:b/>
                <w:color w:val="FFFFFF"/>
                <w:sz w:val="18"/>
              </w:rPr>
              <w:t>TX Hash (prefix)</w:t>
            </w:r>
          </w:p>
        </w:tc>
      </w:tr>
      <w:tr>
        <w:tc>
          <w:tcPr>
            <w:tcW w:type="dxa" w:w="2268"/>
          </w:tcPr>
          <w:p>
            <w:r>
              <w:rPr>
                <w:rFonts w:ascii="Calibri" w:hAnsi="Calibri"/>
                <w:b w:val="0"/>
                <w:sz w:val="18"/>
              </w:rPr>
              <w:t>2026-03-12 22:32:53</w:t>
            </w:r>
          </w:p>
        </w:tc>
        <w:tc>
          <w:tcPr>
            <w:tcW w:type="dxa" w:w="1984"/>
          </w:tcPr>
          <w:p>
            <w:r>
              <w:rPr>
                <w:rFonts w:ascii="Calibri" w:hAnsi="Calibri"/>
                <w:b w:val="0"/>
                <w:sz w:val="18"/>
              </w:rPr>
              <w:t>repay + withdraw</w:t>
            </w:r>
          </w:p>
        </w:tc>
        <w:tc>
          <w:tcPr>
            <w:tcW w:type="dxa" w:w="1984"/>
          </w:tcPr>
          <w:p>
            <w:r>
              <w:rPr>
                <w:rFonts w:ascii="Calibri" w:hAnsi="Calibri"/>
                <w:b w:val="0"/>
                <w:sz w:val="18"/>
              </w:rPr>
              <w:t>1,800 / 2,000</w:t>
            </w:r>
          </w:p>
        </w:tc>
        <w:tc>
          <w:tcPr>
            <w:tcW w:type="dxa" w:w="2268"/>
          </w:tcPr>
          <w:p>
            <w:r>
              <w:rPr>
                <w:rFonts w:ascii="Calibri" w:hAnsi="Calibri"/>
                <w:b w:val="0"/>
                <w:sz w:val="18"/>
              </w:rPr>
              <w:t>62f8984f...</w:t>
            </w:r>
          </w:p>
        </w:tc>
      </w:tr>
      <w:tr>
        <w:tc>
          <w:tcPr>
            <w:tcW w:type="dxa" w:w="2268"/>
            <w:shd w:fill="F5F5FA"/>
          </w:tcPr>
          <w:p>
            <w:r>
              <w:rPr>
                <w:rFonts w:ascii="Calibri" w:hAnsi="Calibri"/>
                <w:b w:val="0"/>
                <w:sz w:val="18"/>
              </w:rPr>
              <w:t>2026-03-13 00:20:53</w:t>
            </w:r>
          </w:p>
        </w:tc>
        <w:tc>
          <w:tcPr>
            <w:tcW w:type="dxa" w:w="1984"/>
            <w:shd w:fill="F5F5FA"/>
          </w:tcPr>
          <w:p>
            <w:r>
              <w:rPr>
                <w:rFonts w:ascii="Calibri" w:hAnsi="Calibri"/>
                <w:b w:val="0"/>
                <w:sz w:val="18"/>
              </w:rPr>
              <w:t>repay + withdraw</w:t>
            </w:r>
          </w:p>
        </w:tc>
        <w:tc>
          <w:tcPr>
            <w:tcW w:type="dxa" w:w="1984"/>
            <w:shd w:fill="F5F5FA"/>
          </w:tcPr>
          <w:p>
            <w:r>
              <w:rPr>
                <w:rFonts w:ascii="Calibri" w:hAnsi="Calibri"/>
                <w:b w:val="0"/>
                <w:sz w:val="18"/>
              </w:rPr>
              <w:t>1,660 / 1,660</w:t>
            </w:r>
          </w:p>
        </w:tc>
        <w:tc>
          <w:tcPr>
            <w:tcW w:type="dxa" w:w="2268"/>
            <w:shd w:fill="F5F5FA"/>
          </w:tcPr>
          <w:p>
            <w:r>
              <w:rPr>
                <w:rFonts w:ascii="Calibri" w:hAnsi="Calibri"/>
                <w:b w:val="0"/>
                <w:sz w:val="18"/>
              </w:rPr>
              <w:t>7ebe93d7...</w:t>
            </w:r>
          </w:p>
        </w:tc>
      </w:tr>
      <w:tr>
        <w:tc>
          <w:tcPr>
            <w:tcW w:type="dxa" w:w="2268"/>
          </w:tcPr>
          <w:p>
            <w:r>
              <w:rPr>
                <w:rFonts w:ascii="Calibri" w:hAnsi="Calibri"/>
                <w:b w:val="0"/>
                <w:sz w:val="18"/>
              </w:rPr>
              <w:t>2026-03-13 07:09:35</w:t>
            </w:r>
          </w:p>
        </w:tc>
        <w:tc>
          <w:tcPr>
            <w:tcW w:type="dxa" w:w="1984"/>
          </w:tcPr>
          <w:p>
            <w:r>
              <w:rPr>
                <w:rFonts w:ascii="Calibri" w:hAnsi="Calibri"/>
                <w:b w:val="0"/>
                <w:sz w:val="18"/>
              </w:rPr>
              <w:t>withdraw_collateral</w:t>
            </w:r>
          </w:p>
        </w:tc>
        <w:tc>
          <w:tcPr>
            <w:tcW w:type="dxa" w:w="1984"/>
          </w:tcPr>
          <w:p>
            <w:r>
              <w:rPr>
                <w:rFonts w:ascii="Calibri" w:hAnsi="Calibri"/>
                <w:b w:val="0"/>
                <w:sz w:val="18"/>
              </w:rPr>
              <w:t>1,260</w:t>
            </w:r>
          </w:p>
        </w:tc>
        <w:tc>
          <w:tcPr>
            <w:tcW w:type="dxa" w:w="2268"/>
          </w:tcPr>
          <w:p>
            <w:r>
              <w:rPr>
                <w:rFonts w:ascii="Calibri" w:hAnsi="Calibri"/>
                <w:b w:val="0"/>
                <w:sz w:val="18"/>
              </w:rPr>
              <w:t>b8997c65...</w:t>
            </w:r>
          </w:p>
        </w:tc>
      </w:tr>
      <w:tr>
        <w:tc>
          <w:tcPr>
            <w:tcW w:type="dxa" w:w="2268"/>
            <w:shd w:fill="F5F5FA"/>
          </w:tcPr>
          <w:p>
            <w:r>
              <w:rPr>
                <w:rFonts w:ascii="Calibri" w:hAnsi="Calibri"/>
                <w:b w:val="0"/>
                <w:sz w:val="18"/>
              </w:rPr>
              <w:t>2026-03-13 23:07:05</w:t>
            </w:r>
          </w:p>
        </w:tc>
        <w:tc>
          <w:tcPr>
            <w:tcW w:type="dxa" w:w="1984"/>
            <w:shd w:fill="F5F5FA"/>
          </w:tcPr>
          <w:p>
            <w:r>
              <w:rPr>
                <w:rFonts w:ascii="Calibri" w:hAnsi="Calibri"/>
                <w:b w:val="0"/>
                <w:sz w:val="18"/>
              </w:rPr>
              <w:t>repay + withdraw</w:t>
            </w:r>
          </w:p>
        </w:tc>
        <w:tc>
          <w:tcPr>
            <w:tcW w:type="dxa" w:w="1984"/>
            <w:shd w:fill="F5F5FA"/>
          </w:tcPr>
          <w:p>
            <w:r>
              <w:rPr>
                <w:rFonts w:ascii="Calibri" w:hAnsi="Calibri"/>
                <w:b w:val="0"/>
                <w:sz w:val="18"/>
              </w:rPr>
              <w:t>81,600 / 91,800</w:t>
            </w:r>
          </w:p>
        </w:tc>
        <w:tc>
          <w:tcPr>
            <w:tcW w:type="dxa" w:w="2268"/>
            <w:shd w:fill="F5F5FA"/>
          </w:tcPr>
          <w:p>
            <w:r>
              <w:rPr>
                <w:rFonts w:ascii="Calibri" w:hAnsi="Calibri"/>
                <w:b w:val="0"/>
                <w:sz w:val="18"/>
              </w:rPr>
              <w:t>b3668dfd...</w:t>
            </w:r>
          </w:p>
        </w:tc>
      </w:tr>
    </w:tbl>
    <w:p/>
    <w:p>
      <w:pPr>
        <w:spacing w:before="240"/>
      </w:pPr>
      <w:r>
        <w:rPr>
          <w:b/>
          <w:color w:val="C62828"/>
        </w:rPr>
        <w:t>Phase 4 — Post-Exploit Pool State</w:t>
      </w:r>
    </w:p>
    <w:p>
      <w:pPr>
        <w:spacing w:before="80" w:after="80"/>
        <w:ind w:left="283"/>
        <w:shd w:fill="F0F0F5" w:val="clear"/>
      </w:pPr>
      <w:r>
        <w:rPr>
          <w:rFonts w:ascii="Consolas" w:hAnsi="Consolas"/>
          <w:color w:val="333333"/>
          <w:sz w:val="19"/>
        </w:rPr>
        <w:t>USDC Reserve — queried 2026-03-14:</w:t>
        <w:br/>
        <w:t xml:space="preserve">  Total Supply (underlying):   82,011.50 USDC</w:t>
        <w:br/>
        <w:t xml:space="preserve">  Total Borrows (underlying):  79,727.10 USDC</w:t>
        <w:br/>
        <w:t xml:space="preserve">  Available Liquidity:          2,284.40 USDC</w:t>
        <w:br/>
        <w:t xml:space="preserve">  Current Utilization:            97.21%</w:t>
        <w:br/>
        <w:t xml:space="preserve">  Configured max_util:            95.00%</w:t>
        <w:br/>
        <w:t xml:space="preserve">  STATUS: UTILIZATION CAP VIOLATED</w:t>
      </w:r>
    </w:p>
    <w:p>
      <w:pPr>
        <w:spacing w:before="160" w:after="160"/>
        <w:ind w:left="170"/>
        <w:shd w:fill="FFF3E0" w:val="clear"/>
        <w:pBdr>
          <w:left w:val="single" w:sz="24" w:space="8" w:color="E65100"/>
        </w:pBdr>
      </w:pPr>
      <w:r>
        <w:rPr>
          <w:color w:val="1A1A2E"/>
          <w:sz w:val="19"/>
        </w:rPr>
        <w:t>The Loop Wallet's position is now fully closed (empty). Wallet A retains ~19,450 USDC in collateral. Within hours, users on the Blend Discord reported anomalous behavior on the USDC reserve, including unexpectedly high borrowing rates.</w:t>
      </w:r>
    </w:p>
    <w:p>
      <w:r>
        <w:br w:type="page"/>
      </w:r>
    </w:p>
    <w:p>
      <w:pPr>
        <w:pStyle w:val="Heading1"/>
      </w:pPr>
      <w:r>
        <w:t>5. Attack Scenario — Profitable Exploitation</w:t>
      </w:r>
    </w:p>
    <w:p>
      <w:r>
        <w:t>A malicious actor can profit from this vulnerability using two wallets:</w:t>
      </w:r>
    </w:p>
    <w:p>
      <w:pPr>
        <w:pStyle w:val="Heading3"/>
      </w:pPr>
      <w:r>
        <w:t>Step-by-step:</w:t>
      </w:r>
    </w:p>
    <w:p>
      <w:pPr>
        <w:spacing w:after="80"/>
        <w:ind w:left="283"/>
      </w:pPr>
      <w:r>
        <w:rPr>
          <w:b/>
        </w:rPr>
        <w:t xml:space="preserve">1. </w:t>
      </w:r>
      <w:r>
        <w:rPr>
          <w:b/>
        </w:rPr>
        <w:t>Setup (Wallet A):</w:t>
      </w:r>
      <w:r>
        <w:t xml:space="preserve"> Establish a lending position in a pool where utilization is already near the utilization cap. This position earns the standard lending APY.</w:t>
      </w:r>
    </w:p>
    <w:p>
      <w:pPr>
        <w:spacing w:after="80"/>
        <w:ind w:left="283"/>
      </w:pPr>
      <w:r>
        <w:rPr>
          <w:b/>
        </w:rPr>
        <w:t xml:space="preserve">2. </w:t>
      </w:r>
      <w:r>
        <w:rPr>
          <w:b/>
        </w:rPr>
        <w:t>Loop (Wallet B):</w:t>
      </w:r>
      <w:r>
        <w:t xml:space="preserve"> Deploy a same-asset leverage loop (supply + borrow × N) in a single atomic transaction. This temporarily suppresses apparent utilization below the cap.</w:t>
      </w:r>
    </w:p>
    <w:p>
      <w:pPr>
        <w:spacing w:after="80"/>
        <w:ind w:left="283"/>
      </w:pPr>
      <w:r>
        <w:rPr>
          <w:b/>
        </w:rPr>
        <w:t xml:space="preserve">3. </w:t>
      </w:r>
      <w:r>
        <w:rPr>
          <w:b/>
        </w:rPr>
        <w:t>Withdraw (Wallet A):</w:t>
      </w:r>
      <w:r>
        <w:t xml:space="preserve"> While utilization appears low, withdraw real liquidity from the pool. This step is optional — the interest rate manipulation alone is profitable.</w:t>
      </w:r>
    </w:p>
    <w:p>
      <w:pPr>
        <w:spacing w:after="80"/>
        <w:ind w:left="283"/>
      </w:pPr>
      <w:r>
        <w:rPr>
          <w:b/>
        </w:rPr>
        <w:t xml:space="preserve">4. </w:t>
      </w:r>
      <w:r>
        <w:rPr>
          <w:b/>
        </w:rPr>
        <w:t>Unloop (Wallet B):</w:t>
      </w:r>
      <w:r>
        <w:t xml:space="preserve"> In the same ledger or shortly after, unwind the leverage loop. Utilization spikes above the cap and into the R_3 penalty zone.</w:t>
      </w:r>
    </w:p>
    <w:p>
      <w:pPr>
        <w:spacing w:after="80"/>
        <w:ind w:left="283"/>
      </w:pPr>
      <w:r>
        <w:rPr>
          <w:b/>
        </w:rPr>
        <w:t xml:space="preserve">5. </w:t>
      </w:r>
      <w:r>
        <w:rPr>
          <w:b/>
        </w:rPr>
        <w:t>Collect (Wallet A):</w:t>
      </w:r>
      <w:r>
        <w:t xml:space="preserve"> The lending position now earns the inflated APY (up to 500% APR on Etherfuse USDC) while all borrowers in the reserve pay the inflated rate. The attacker can repeat steps 2–4 to maintain the elevated rate.</w:t>
      </w:r>
    </w:p>
    <w:p>
      <w:pPr>
        <w:pStyle w:val="Heading3"/>
      </w:pPr>
      <w:r>
        <w:t>Cost/Benefit Analysis:</w:t>
      </w:r>
    </w:p>
    <w:tbl>
      <w:tblPr>
        <w:tblStyle w:val="TableGrid"/>
        <w:tblW w:type="auto" w:w="0"/>
        <w:jc w:val="center"/>
        <w:tblLook w:firstColumn="1" w:firstRow="1" w:lastColumn="0" w:lastRow="0" w:noHBand="0" w:noVBand="1" w:val="04A0"/>
      </w:tblPr>
      <w:tblGrid>
        <w:gridCol w:w="4703"/>
        <w:gridCol w:w="4703"/>
      </w:tblGrid>
      <w:tr>
        <w:tc>
          <w:tcPr>
            <w:tcW w:type="dxa" w:w="2835"/>
            <w:shd w:fill="1A1A2E"/>
          </w:tcPr>
          <w:p>
            <w:pPr>
              <w:jc w:val="left"/>
            </w:pPr>
            <w:r>
              <w:rPr>
                <w:rFonts w:ascii="Calibri" w:hAnsi="Calibri"/>
                <w:b/>
                <w:color w:val="FFFFFF"/>
                <w:sz w:val="18"/>
              </w:rPr>
              <w:t>Component</w:t>
            </w:r>
          </w:p>
        </w:tc>
        <w:tc>
          <w:tcPr>
            <w:tcW w:type="dxa" w:w="6236"/>
            <w:shd w:fill="1A1A2E"/>
          </w:tcPr>
          <w:p>
            <w:pPr>
              <w:jc w:val="left"/>
            </w:pPr>
            <w:r>
              <w:rPr>
                <w:rFonts w:ascii="Calibri" w:hAnsi="Calibri"/>
                <w:b/>
                <w:color w:val="FFFFFF"/>
                <w:sz w:val="18"/>
              </w:rPr>
              <w:t>Value</w:t>
            </w:r>
          </w:p>
        </w:tc>
      </w:tr>
      <w:tr>
        <w:tc>
          <w:tcPr>
            <w:tcW w:type="dxa" w:w="2835"/>
          </w:tcPr>
          <w:p>
            <w:r>
              <w:rPr>
                <w:rFonts w:ascii="Calibri" w:hAnsi="Calibri"/>
                <w:b w:val="0"/>
                <w:sz w:val="18"/>
              </w:rPr>
              <w:t>Attacker cost</w:t>
            </w:r>
          </w:p>
        </w:tc>
        <w:tc>
          <w:tcPr>
            <w:tcW w:type="dxa" w:w="6236"/>
          </w:tcPr>
          <w:p>
            <w:r>
              <w:rPr>
                <w:rFonts w:ascii="Calibri" w:hAnsi="Calibri"/>
                <w:b w:val="0"/>
                <w:sz w:val="18"/>
              </w:rPr>
              <w:t>Gas fees only (~fractions of a cent on Stellar)</w:t>
            </w:r>
          </w:p>
        </w:tc>
      </w:tr>
      <w:tr>
        <w:tc>
          <w:tcPr>
            <w:tcW w:type="dxa" w:w="2835"/>
            <w:shd w:fill="F5F5FA"/>
          </w:tcPr>
          <w:p>
            <w:r>
              <w:rPr>
                <w:rFonts w:ascii="Calibri" w:hAnsi="Calibri"/>
                <w:b w:val="0"/>
                <w:sz w:val="18"/>
              </w:rPr>
              <w:t>Attacker borrowing cost</w:t>
            </w:r>
          </w:p>
        </w:tc>
        <w:tc>
          <w:tcPr>
            <w:tcW w:type="dxa" w:w="6236"/>
            <w:shd w:fill="F5F5FA"/>
          </w:tcPr>
          <w:p>
            <w:r>
              <w:rPr>
                <w:rFonts w:ascii="Calibri" w:hAnsi="Calibri"/>
                <w:b w:val="0"/>
                <w:sz w:val="18"/>
              </w:rPr>
              <w:t>Negligible — loop exists for &lt;5 seconds (one ledger)</w:t>
            </w:r>
          </w:p>
        </w:tc>
      </w:tr>
      <w:tr>
        <w:tc>
          <w:tcPr>
            <w:tcW w:type="dxa" w:w="2835"/>
          </w:tcPr>
          <w:p>
            <w:r>
              <w:rPr>
                <w:rFonts w:ascii="Calibri" w:hAnsi="Calibri"/>
                <w:b w:val="0"/>
                <w:sz w:val="18"/>
              </w:rPr>
              <w:t>Capital required</w:t>
            </w:r>
          </w:p>
        </w:tc>
        <w:tc>
          <w:tcPr>
            <w:tcW w:type="dxa" w:w="6236"/>
          </w:tcPr>
          <w:p>
            <w:r>
              <w:rPr>
                <w:rFonts w:ascii="Calibri" w:hAnsi="Calibri"/>
                <w:b w:val="0"/>
                <w:sz w:val="18"/>
              </w:rPr>
              <w:t>A few hundred USDC (for the loop; lending position is separate)</w:t>
            </w:r>
          </w:p>
        </w:tc>
      </w:tr>
      <w:tr>
        <w:tc>
          <w:tcPr>
            <w:tcW w:type="dxa" w:w="2835"/>
            <w:shd w:fill="F5F5FA"/>
          </w:tcPr>
          <w:p>
            <w:r>
              <w:rPr>
                <w:rFonts w:ascii="Calibri" w:hAnsi="Calibri"/>
                <w:b w:val="0"/>
                <w:sz w:val="18"/>
              </w:rPr>
              <w:t>Attacker revenue</w:t>
            </w:r>
          </w:p>
        </w:tc>
        <w:tc>
          <w:tcPr>
            <w:tcW w:type="dxa" w:w="6236"/>
            <w:shd w:fill="F5F5FA"/>
          </w:tcPr>
          <w:p>
            <w:r>
              <w:rPr>
                <w:rFonts w:ascii="Calibri" w:hAnsi="Calibri"/>
                <w:b w:val="0"/>
                <w:sz w:val="18"/>
              </w:rPr>
              <w:t>Inflated lending APY on Wallet A's position</w:t>
            </w:r>
          </w:p>
        </w:tc>
      </w:tr>
      <w:tr>
        <w:tc>
          <w:tcPr>
            <w:tcW w:type="dxa" w:w="2835"/>
          </w:tcPr>
          <w:p>
            <w:r>
              <w:rPr>
                <w:rFonts w:ascii="Calibri" w:hAnsi="Calibri"/>
                <w:b w:val="0"/>
                <w:sz w:val="18"/>
              </w:rPr>
              <w:t>Victim cost</w:t>
            </w:r>
          </w:p>
        </w:tc>
        <w:tc>
          <w:tcPr>
            <w:tcW w:type="dxa" w:w="6236"/>
          </w:tcPr>
          <w:p>
            <w:r>
              <w:rPr>
                <w:rFonts w:ascii="Calibri" w:hAnsi="Calibri"/>
                <w:b w:val="0"/>
                <w:sz w:val="18"/>
              </w:rPr>
              <w:t>All borrowers pay 500% APR instead of normal rates</w:t>
            </w:r>
          </w:p>
        </w:tc>
      </w:tr>
      <w:tr>
        <w:tc>
          <w:tcPr>
            <w:tcW w:type="dxa" w:w="2835"/>
            <w:shd w:fill="F5F5FA"/>
          </w:tcPr>
          <w:p>
            <w:r>
              <w:rPr>
                <w:rFonts w:ascii="Calibri" w:hAnsi="Calibri"/>
                <w:b w:val="0"/>
                <w:sz w:val="18"/>
              </w:rPr>
              <w:t>Time to profit</w:t>
            </w:r>
          </w:p>
        </w:tc>
        <w:tc>
          <w:tcPr>
            <w:tcW w:type="dxa" w:w="6236"/>
            <w:shd w:fill="F5F5FA"/>
          </w:tcPr>
          <w:p>
            <w:r>
              <w:rPr>
                <w:rFonts w:ascii="Calibri" w:hAnsi="Calibri"/>
                <w:b w:val="0"/>
                <w:sz w:val="18"/>
              </w:rPr>
              <w:t>Immediate — rates change within the same ledger</w:t>
            </w:r>
          </w:p>
        </w:tc>
      </w:tr>
    </w:tbl>
    <w:p/>
    <w:p>
      <w:pPr>
        <w:spacing w:before="160" w:after="160"/>
        <w:ind w:left="170"/>
        <w:shd w:fill="FFF3E0" w:val="clear"/>
        <w:pBdr>
          <w:left w:val="single" w:sz="24" w:space="8" w:color="E65100"/>
        </w:pBdr>
      </w:pPr>
      <w:r>
        <w:rPr>
          <w:color w:val="1A1A2E"/>
          <w:sz w:val="19"/>
        </w:rPr>
        <w:t>Historical Precedent: This attack pattern is analogous to the Aave V2 / CRV incident (November 2022), where an attacker used leverage loops to manipulate utilization rates on the CRV reserve. The inflated interest rates and illiquid conditions ultimately resulted in ~$1.6M in bad debt that had to be absorbed by the Aave DAO treasury. The incident prompted Aave to implement reserve-specific supply caps and risk parameter adjustments.</w:t>
      </w:r>
    </w:p>
    <w:p>
      <w:pPr>
        <w:pStyle w:val="Heading1"/>
      </w:pPr>
      <w:r>
        <w:t>6. Compounded Attack Vector: Oracle Manipulation + Utilization Drain</w:t>
      </w:r>
    </w:p>
    <w:p>
      <w:pPr>
        <w:spacing w:before="160" w:after="160"/>
        <w:ind w:left="170"/>
        <w:shd w:fill="E8F0FE" w:val="clear"/>
        <w:pBdr>
          <w:left w:val="single" w:sz="24" w:space="8" w:color="1A73E8"/>
        </w:pBdr>
      </w:pPr>
      <w:r>
        <w:rPr>
          <w:color w:val="1A1A2E"/>
          <w:sz w:val="19"/>
        </w:rPr>
        <w:t>THEORETICAL: This attack scenario has not been executed. It is a theoretical analysis based on the mechanics demonstrated in Section 5, the on-chain oracle architecture, and the precedent set by the YieldBlox exploit (February 2026). It is included to illustrate the compounding risk when multiple vulnerabilities interact.</w:t>
      </w:r>
    </w:p>
    <w:p>
      <w:pPr>
        <w:pStyle w:val="Heading2"/>
      </w:pPr>
      <w:r>
        <w:t>6.1 The YieldBlox Oracle Exploit (Feb 22, 2026)</w:t>
      </w:r>
    </w:p>
    <w:p>
      <w:r>
        <w:t xml:space="preserve">On February 22, 2026, the YieldBlox DAO pool on Blend Protocol was exploited for </w:t>
      </w:r>
      <w:r>
        <w:rPr>
          <w:b/>
        </w:rPr>
        <w:t>~$10.8M</w:t>
      </w:r>
      <w:r>
        <w:t xml:space="preserve"> via oracle price manipulation of USTRY — the same Etherfuse stablebond asset present in the Etherfuse pool.</w:t>
      </w:r>
    </w:p>
    <w:p>
      <w:pPr>
        <w:spacing w:before="120"/>
      </w:pPr>
      <w:r>
        <w:t>The attack mechanics:</w:t>
      </w:r>
    </w:p>
    <w:p>
      <w:pPr>
        <w:pStyle w:val="ListBullet"/>
        <w:spacing w:after="60"/>
      </w:pPr>
      <w:r>
        <w:t>The USTRY/USDC pair on SDEX had less than $1 in hourly trading volume.</w:t>
      </w:r>
    </w:p>
    <w:p>
      <w:pPr>
        <w:pStyle w:val="ListBullet"/>
        <w:spacing w:after="60"/>
      </w:pPr>
      <w:r>
        <w:t>The attacker placed a sell offer at ~$106/USTRY (fair value: ~$1.05).</w:t>
      </w:r>
    </w:p>
    <w:p>
      <w:pPr>
        <w:pStyle w:val="ListBullet"/>
        <w:spacing w:after="60"/>
      </w:pPr>
      <w:r>
        <w:t>Using a second account, they bought 0.05 USTRY at the inflated price — a single self-trade costing ~$4.</w:t>
      </w:r>
    </w:p>
    <w:p>
      <w:pPr>
        <w:pStyle w:val="ListBullet"/>
        <w:spacing w:after="60"/>
      </w:pPr>
      <w:r>
        <w:t>The Reflector oracle's 5-minute VWAP window picked up this single trade as the dominant price signal.</w:t>
      </w:r>
    </w:p>
    <w:p>
      <w:pPr>
        <w:pStyle w:val="ListBullet"/>
        <w:spacing w:after="60"/>
      </w:pPr>
      <w:r>
        <w:t>The attacker deposited USTRY at the inflated oracle price and borrowed ~1M USDC + ~61M XLM.</w:t>
      </w:r>
    </w:p>
    <w:p>
      <w:pPr>
        <w:spacing w:before="160" w:after="160"/>
        <w:ind w:left="170"/>
        <w:shd w:fill="FFF3E0" w:val="clear"/>
        <w:pBdr>
          <w:left w:val="single" w:sz="24" w:space="8" w:color="E65100"/>
        </w:pBdr>
      </w:pPr>
      <w:r>
        <w:rPr>
          <w:color w:val="1A1A2E"/>
          <w:sz w:val="19"/>
        </w:rPr>
        <w:t>The YieldBlox pool used a raw Reflector oracle with no circuit breakers. A 100× price manipulation was accepted in a single oracle update. Cost: ~$4. Funds extracted: ~$10.8M.</w:t>
      </w:r>
    </w:p>
    <w:p>
      <w:pPr>
        <w:spacing w:before="80"/>
      </w:pPr>
      <w:r>
        <w:rPr>
          <w:i/>
          <w:color w:val="777777"/>
          <w:sz w:val="17"/>
        </w:rPr>
        <w:t xml:space="preserve">Sources: </w:t>
      </w:r>
      <w:r>
        <w:rPr>
          <w:i/>
          <w:color w:val="777777"/>
          <w:sz w:val="17"/>
        </w:rPr>
        <w:t>Halborn — YieldBlox Hack Explained (Feb 2026), QuillAudits — How a Single Trade Caused $10M Loss</w:t>
      </w:r>
    </w:p>
    <w:p>
      <w:pPr>
        <w:pStyle w:val="Heading2"/>
      </w:pPr>
      <w:r>
        <w:t>6.2 The Etherfuse Pool: Different Oracle, Residual Risk</w:t>
      </w:r>
    </w:p>
    <w:p>
      <w:pPr>
        <w:spacing w:before="160" w:after="160"/>
        <w:ind w:left="170"/>
        <w:shd w:fill="E8F0FE" w:val="clear"/>
        <w:pBdr>
          <w:left w:val="single" w:sz="24" w:space="8" w:color="1A73E8"/>
        </w:pBdr>
      </w:pPr>
      <w:r>
        <w:rPr>
          <w:color w:val="1A1A2E"/>
          <w:sz w:val="19"/>
        </w:rPr>
        <w:t>Important distinction: Unlike the YieldBlox pool, the Etherfuse pool does NOT use a raw Reflector oracle. It uses a custom oracle adaptor contract that wraps the underlying Reflector feeds with circuit breaker protections (max_dev). The YieldBlox-style 100× manipulation in a single update is not possible.</w:t>
      </w:r>
    </w:p>
    <w:p>
      <w:r>
        <w:t>On-chain inspection of the oracle adaptor's instance storage reveals the following circuit breaker configuration: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1A1A2E"/>
          </w:tcPr>
          <w:p>
            <w:pPr>
              <w:jc w:val="left"/>
            </w:pPr>
            <w:r>
              <w:rPr>
                <w:rFonts w:ascii="Calibri" w:hAnsi="Calibri"/>
                <w:b/>
                <w:color w:val="FFFFFF"/>
                <w:sz w:val="18"/>
              </w:rPr>
              <w:t>Asset</w:t>
            </w:r>
          </w:p>
        </w:tc>
        <w:tc>
          <w:tcPr>
            <w:tcW w:type="dxa" w:w="1134"/>
            <w:shd w:fill="1A1A2E"/>
          </w:tcPr>
          <w:p>
            <w:pPr>
              <w:jc w:val="left"/>
            </w:pPr>
            <w:r>
              <w:rPr>
                <w:rFonts w:ascii="Calibri" w:hAnsi="Calibri"/>
                <w:b/>
                <w:color w:val="FFFFFF"/>
                <w:sz w:val="18"/>
              </w:rPr>
              <w:t>max_dev</w:t>
            </w:r>
          </w:p>
        </w:tc>
        <w:tc>
          <w:tcPr>
            <w:tcW w:type="dxa" w:w="1417"/>
            <w:shd w:fill="1A1A2E"/>
          </w:tcPr>
          <w:p>
            <w:pPr>
              <w:jc w:val="left"/>
            </w:pPr>
            <w:r>
              <w:rPr>
                <w:rFonts w:ascii="Calibri" w:hAnsi="Calibri"/>
                <w:b/>
                <w:color w:val="FFFFFF"/>
                <w:sz w:val="18"/>
              </w:rPr>
              <w:t>Oracle Index</w:t>
            </w:r>
          </w:p>
        </w:tc>
        <w:tc>
          <w:tcPr>
            <w:tcW w:type="dxa" w:w="4252"/>
            <w:shd w:fill="1A1A2E"/>
          </w:tcPr>
          <w:p>
            <w:pPr>
              <w:jc w:val="left"/>
            </w:pPr>
            <w:r>
              <w:rPr>
                <w:rFonts w:ascii="Calibri" w:hAnsi="Calibri"/>
                <w:b/>
                <w:color w:val="FFFFFF"/>
                <w:sz w:val="18"/>
              </w:rPr>
              <w:t>Underlying Oracle</w:t>
            </w:r>
          </w:p>
        </w:tc>
      </w:tr>
      <w:tr>
        <w:tc>
          <w:tcPr>
            <w:tcW w:type="dxa" w:w="1701"/>
          </w:tcPr>
          <w:p>
            <w:r>
              <w:rPr>
                <w:rFonts w:ascii="Calibri" w:hAnsi="Calibri"/>
                <w:b w:val="0"/>
                <w:sz w:val="18"/>
              </w:rPr>
              <w:t>CETES</w:t>
            </w:r>
          </w:p>
        </w:tc>
        <w:tc>
          <w:tcPr>
            <w:tcW w:type="dxa" w:w="1134"/>
          </w:tcPr>
          <w:p>
            <w:r>
              <w:rPr>
                <w:rFonts w:ascii="Calibri" w:hAnsi="Calibri"/>
                <w:b w:val="0"/>
                <w:sz w:val="18"/>
              </w:rPr>
              <w:t>5%</w:t>
            </w:r>
          </w:p>
        </w:tc>
        <w:tc>
          <w:tcPr>
            <w:tcW w:type="dxa" w:w="1417"/>
          </w:tcPr>
          <w:p>
            <w:r>
              <w:rPr>
                <w:rFonts w:ascii="Calibri" w:hAnsi="Calibri"/>
                <w:b w:val="0"/>
                <w:sz w:val="18"/>
              </w:rPr>
              <w:t>0</w:t>
            </w:r>
          </w:p>
        </w:tc>
        <w:tc>
          <w:tcPr>
            <w:tcW w:type="dxa" w:w="4252"/>
          </w:tcPr>
          <w:p>
            <w:r>
              <w:rPr>
                <w:rFonts w:ascii="Calibri" w:hAnsi="Calibri"/>
                <w:b w:val="0"/>
                <w:sz w:val="18"/>
              </w:rPr>
              <w:t>Reflector (300s, 14 dec)</w:t>
            </w:r>
          </w:p>
        </w:tc>
      </w:tr>
      <w:tr>
        <w:tc>
          <w:tcPr>
            <w:tcW w:type="dxa" w:w="1701"/>
            <w:shd w:fill="F5F5FA"/>
          </w:tcPr>
          <w:p>
            <w:r>
              <w:rPr>
                <w:rFonts w:ascii="Calibri" w:hAnsi="Calibri"/>
                <w:b w:val="0"/>
                <w:sz w:val="18"/>
              </w:rPr>
              <w:t>USTRY</w:t>
            </w:r>
          </w:p>
        </w:tc>
        <w:tc>
          <w:tcPr>
            <w:tcW w:type="dxa" w:w="1134"/>
            <w:shd w:fill="F5F5FA"/>
          </w:tcPr>
          <w:p>
            <w:r>
              <w:rPr>
                <w:rFonts w:ascii="Calibri" w:hAnsi="Calibri"/>
                <w:b w:val="0"/>
                <w:sz w:val="18"/>
              </w:rPr>
              <w:t>5%</w:t>
            </w:r>
          </w:p>
        </w:tc>
        <w:tc>
          <w:tcPr>
            <w:tcW w:type="dxa" w:w="1417"/>
            <w:shd w:fill="F5F5FA"/>
          </w:tcPr>
          <w:p>
            <w:r>
              <w:rPr>
                <w:rFonts w:ascii="Calibri" w:hAnsi="Calibri"/>
                <w:b w:val="0"/>
                <w:sz w:val="18"/>
              </w:rPr>
              <w:t>0</w:t>
            </w:r>
          </w:p>
        </w:tc>
        <w:tc>
          <w:tcPr>
            <w:tcW w:type="dxa" w:w="4252"/>
            <w:shd w:fill="F5F5FA"/>
          </w:tcPr>
          <w:p>
            <w:r>
              <w:rPr>
                <w:rFonts w:ascii="Calibri" w:hAnsi="Calibri"/>
                <w:b w:val="0"/>
                <w:sz w:val="18"/>
              </w:rPr>
              <w:t>Reflector (300s, 14 dec)</w:t>
            </w:r>
          </w:p>
        </w:tc>
      </w:tr>
      <w:tr>
        <w:tc>
          <w:tcPr>
            <w:tcW w:type="dxa" w:w="1701"/>
          </w:tcPr>
          <w:p>
            <w:r>
              <w:rPr>
                <w:rFonts w:ascii="Calibri" w:hAnsi="Calibri"/>
                <w:b w:val="0"/>
                <w:sz w:val="18"/>
              </w:rPr>
              <w:t>TESOURO</w:t>
            </w:r>
          </w:p>
        </w:tc>
        <w:tc>
          <w:tcPr>
            <w:tcW w:type="dxa" w:w="1134"/>
          </w:tcPr>
          <w:p>
            <w:r>
              <w:rPr>
                <w:rFonts w:ascii="Calibri" w:hAnsi="Calibri"/>
                <w:b w:val="0"/>
                <w:sz w:val="18"/>
              </w:rPr>
              <w:t>5%</w:t>
            </w:r>
          </w:p>
        </w:tc>
        <w:tc>
          <w:tcPr>
            <w:tcW w:type="dxa" w:w="1417"/>
          </w:tcPr>
          <w:p>
            <w:r>
              <w:rPr>
                <w:rFonts w:ascii="Calibri" w:hAnsi="Calibri"/>
                <w:b w:val="0"/>
                <w:sz w:val="18"/>
              </w:rPr>
              <w:t>0</w:t>
            </w:r>
          </w:p>
        </w:tc>
        <w:tc>
          <w:tcPr>
            <w:tcW w:type="dxa" w:w="4252"/>
          </w:tcPr>
          <w:p>
            <w:r>
              <w:rPr>
                <w:rFonts w:ascii="Calibri" w:hAnsi="Calibri"/>
                <w:b w:val="0"/>
                <w:sz w:val="18"/>
              </w:rPr>
              <w:t>Reflector (300s, 14 dec)</w:t>
            </w:r>
          </w:p>
        </w:tc>
      </w:tr>
      <w:tr>
        <w:tc>
          <w:tcPr>
            <w:tcW w:type="dxa" w:w="1701"/>
            <w:shd w:fill="F5F5FA"/>
          </w:tcPr>
          <w:p>
            <w:r>
              <w:rPr>
                <w:rFonts w:ascii="Calibri" w:hAnsi="Calibri"/>
                <w:b w:val="0"/>
                <w:sz w:val="18"/>
              </w:rPr>
              <w:t>USDC</w:t>
            </w:r>
          </w:p>
        </w:tc>
        <w:tc>
          <w:tcPr>
            <w:tcW w:type="dxa" w:w="1134"/>
            <w:shd w:fill="F5F5FA"/>
          </w:tcPr>
          <w:p>
            <w:r>
              <w:rPr>
                <w:rFonts w:ascii="Calibri" w:hAnsi="Calibri"/>
                <w:b w:val="0"/>
                <w:sz w:val="18"/>
              </w:rPr>
              <w:t>5%</w:t>
            </w:r>
          </w:p>
        </w:tc>
        <w:tc>
          <w:tcPr>
            <w:tcW w:type="dxa" w:w="1417"/>
            <w:shd w:fill="F5F5FA"/>
          </w:tcPr>
          <w:p>
            <w:r>
              <w:rPr>
                <w:rFonts w:ascii="Calibri" w:hAnsi="Calibri"/>
                <w:b w:val="0"/>
                <w:sz w:val="18"/>
              </w:rPr>
              <w:t>1</w:t>
            </w:r>
          </w:p>
        </w:tc>
        <w:tc>
          <w:tcPr>
            <w:tcW w:type="dxa" w:w="4252"/>
            <w:shd w:fill="F5F5FA"/>
          </w:tcPr>
          <w:p>
            <w:r>
              <w:rPr>
                <w:rFonts w:ascii="Calibri" w:hAnsi="Calibri"/>
                <w:b w:val="0"/>
                <w:sz w:val="18"/>
              </w:rPr>
              <w:t>Reflector (300s, 14 dec)</w:t>
            </w:r>
          </w:p>
        </w:tc>
      </w:tr>
      <w:tr>
        <w:tc>
          <w:tcPr>
            <w:tcW w:type="dxa" w:w="1701"/>
          </w:tcPr>
          <w:p>
            <w:r>
              <w:rPr>
                <w:rFonts w:ascii="Calibri" w:hAnsi="Calibri"/>
                <w:b w:val="0"/>
                <w:sz w:val="18"/>
              </w:rPr>
              <w:t>XLM</w:t>
            </w:r>
          </w:p>
        </w:tc>
        <w:tc>
          <w:tcPr>
            <w:tcW w:type="dxa" w:w="1134"/>
          </w:tcPr>
          <w:p>
            <w:r>
              <w:rPr>
                <w:rFonts w:ascii="Calibri" w:hAnsi="Calibri"/>
                <w:b w:val="0"/>
                <w:sz w:val="18"/>
              </w:rPr>
              <w:t>10%</w:t>
            </w:r>
          </w:p>
        </w:tc>
        <w:tc>
          <w:tcPr>
            <w:tcW w:type="dxa" w:w="1417"/>
          </w:tcPr>
          <w:p>
            <w:r>
              <w:rPr>
                <w:rFonts w:ascii="Calibri" w:hAnsi="Calibri"/>
                <w:b w:val="0"/>
                <w:sz w:val="18"/>
              </w:rPr>
              <w:t>1</w:t>
            </w:r>
          </w:p>
        </w:tc>
        <w:tc>
          <w:tcPr>
            <w:tcW w:type="dxa" w:w="4252"/>
          </w:tcPr>
          <w:p>
            <w:r>
              <w:rPr>
                <w:rFonts w:ascii="Calibri" w:hAnsi="Calibri"/>
                <w:b w:val="0"/>
                <w:sz w:val="18"/>
              </w:rPr>
              <w:t>Reflector (300s, 14 dec)</w:t>
            </w:r>
          </w:p>
        </w:tc>
      </w:tr>
    </w:tbl>
    <w:p/>
    <w:p>
      <w:r>
        <w:rPr>
          <w:b/>
        </w:rPr>
        <w:t xml:space="preserve">MaxAge: </w:t>
      </w:r>
      <w:r>
        <w:t>600 seconds (stale prices are rejected).</w:t>
      </w:r>
    </w:p>
    <w:p>
      <w:pPr>
        <w:spacing w:before="120"/>
      </w:pPr>
      <w:r>
        <w:t>The max_dev circuit breaker rejects any price update that deviates more than 5% from the previous accepted price. However, this protection has significant limitations:</w:t>
      </w:r>
    </w:p>
    <w:p>
      <w:pPr>
        <w:pStyle w:val="Heading2"/>
      </w:pPr>
      <w:r>
        <w:t>6.3 Why max_dev=5% Is Still Exploitable</w:t>
      </w:r>
    </w:p>
    <w:p>
      <w:r>
        <w:rPr>
          <w:b/>
        </w:rPr>
        <w:t xml:space="preserve">5% is enough to liquidate. </w:t>
      </w:r>
      <w:r>
        <w:t>Any borrower at HF ≤ 1.05 — which includes anyone at maximum leverage with CETES or TESOURO (c_factor = 0.80, max leverage ~5×) — is liquidated by a single 5% price drop:</w:t>
      </w:r>
    </w:p>
    <w:p>
      <w:pPr>
        <w:spacing w:before="80" w:after="80"/>
        <w:ind w:left="283"/>
        <w:shd w:fill="F0F0F5" w:val="clear"/>
      </w:pPr>
      <w:r>
        <w:rPr>
          <w:rFonts w:ascii="Consolas" w:hAnsi="Consolas"/>
          <w:color w:val="333333"/>
          <w:sz w:val="19"/>
        </w:rPr>
        <w:t>Borrower at HF 1.05:</w:t>
        <w:br/>
        <w:t xml:space="preserve">  new HF = 1.05 × 0.95 = 0.9975 → liquidatable</w:t>
      </w:r>
    </w:p>
    <w:p>
      <w:pPr>
        <w:spacing w:before="160"/>
      </w:pPr>
      <w:r>
        <w:rPr>
          <w:b/>
        </w:rPr>
        <w:t xml:space="preserve">Price walking. </w:t>
      </w:r>
      <w:r>
        <w:t>If the max_dev check compares against the last accepted price (rather than a fixed reference), an attacker can walk the price — moving it 5% every oracle resolution period (300 seconds):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A1A2E"/>
          </w:tcPr>
          <w:p>
            <w:pPr>
              <w:jc w:val="left"/>
            </w:pPr>
            <w:r>
              <w:rPr>
                <w:rFonts w:ascii="Calibri" w:hAnsi="Calibri"/>
                <w:b/>
                <w:color w:val="FFFFFF"/>
                <w:sz w:val="18"/>
              </w:rPr>
              <w:t>Time elapsed</w:t>
            </w:r>
          </w:p>
        </w:tc>
        <w:tc>
          <w:tcPr>
            <w:tcW w:type="dxa" w:w="2268"/>
            <w:shd w:fill="1A1A2E"/>
          </w:tcPr>
          <w:p>
            <w:pPr>
              <w:jc w:val="left"/>
            </w:pPr>
            <w:r>
              <w:rPr>
                <w:rFonts w:ascii="Calibri" w:hAnsi="Calibri"/>
                <w:b/>
                <w:color w:val="FFFFFF"/>
                <w:sz w:val="18"/>
              </w:rPr>
              <w:t>Cumulative price movement</w:t>
            </w:r>
          </w:p>
        </w:tc>
        <w:tc>
          <w:tcPr>
            <w:tcW w:type="dxa" w:w="3969"/>
            <w:shd w:fill="1A1A2E"/>
          </w:tcPr>
          <w:p>
            <w:pPr>
              <w:jc w:val="left"/>
            </w:pPr>
            <w:r>
              <w:rPr>
                <w:rFonts w:ascii="Calibri" w:hAnsi="Calibri"/>
                <w:b/>
                <w:color w:val="FFFFFF"/>
                <w:sz w:val="18"/>
              </w:rPr>
              <w:t>Effect</w:t>
            </w:r>
          </w:p>
        </w:tc>
      </w:tr>
      <w:tr>
        <w:tc>
          <w:tcPr>
            <w:tcW w:type="dxa" w:w="2268"/>
          </w:tcPr>
          <w:p>
            <w:r>
              <w:rPr>
                <w:rFonts w:ascii="Calibri" w:hAnsi="Calibri"/>
                <w:b w:val="0"/>
                <w:sz w:val="18"/>
              </w:rPr>
              <w:t>5 min (1 update)</w:t>
            </w:r>
          </w:p>
        </w:tc>
        <w:tc>
          <w:tcPr>
            <w:tcW w:type="dxa" w:w="2268"/>
          </w:tcPr>
          <w:p>
            <w:r>
              <w:rPr>
                <w:rFonts w:ascii="Calibri" w:hAnsi="Calibri"/>
                <w:b w:val="0"/>
                <w:sz w:val="18"/>
              </w:rPr>
              <w:t>-5.0%</w:t>
            </w:r>
          </w:p>
        </w:tc>
        <w:tc>
          <w:tcPr>
            <w:tcW w:type="dxa" w:w="3969"/>
          </w:tcPr>
          <w:p>
            <w:r>
              <w:rPr>
                <w:rFonts w:ascii="Calibri" w:hAnsi="Calibri"/>
                <w:b w:val="0"/>
                <w:sz w:val="18"/>
              </w:rPr>
              <w:t>Liquidates HF ≤ 1.05</w:t>
            </w:r>
          </w:p>
        </w:tc>
      </w:tr>
      <w:tr>
        <w:tc>
          <w:tcPr>
            <w:tcW w:type="dxa" w:w="2268"/>
            <w:shd w:fill="F5F5FA"/>
          </w:tcPr>
          <w:p>
            <w:r>
              <w:rPr>
                <w:rFonts w:ascii="Calibri" w:hAnsi="Calibri"/>
                <w:b w:val="0"/>
                <w:sz w:val="18"/>
              </w:rPr>
              <w:t>10 min (2 updates)</w:t>
            </w:r>
          </w:p>
        </w:tc>
        <w:tc>
          <w:tcPr>
            <w:tcW w:type="dxa" w:w="2268"/>
            <w:shd w:fill="F5F5FA"/>
          </w:tcPr>
          <w:p>
            <w:r>
              <w:rPr>
                <w:rFonts w:ascii="Calibri" w:hAnsi="Calibri"/>
                <w:b w:val="0"/>
                <w:sz w:val="18"/>
              </w:rPr>
              <w:t>-9.75%</w:t>
            </w:r>
          </w:p>
        </w:tc>
        <w:tc>
          <w:tcPr>
            <w:tcW w:type="dxa" w:w="3969"/>
            <w:shd w:fill="F5F5FA"/>
          </w:tcPr>
          <w:p>
            <w:r>
              <w:rPr>
                <w:rFonts w:ascii="Calibri" w:hAnsi="Calibri"/>
                <w:b w:val="0"/>
                <w:sz w:val="18"/>
              </w:rPr>
              <w:t>Liquidates HF ≤ 1.10</w:t>
            </w:r>
          </w:p>
        </w:tc>
      </w:tr>
      <w:tr>
        <w:tc>
          <w:tcPr>
            <w:tcW w:type="dxa" w:w="2268"/>
          </w:tcPr>
          <w:p>
            <w:r>
              <w:rPr>
                <w:rFonts w:ascii="Calibri" w:hAnsi="Calibri"/>
                <w:b w:val="0"/>
                <w:sz w:val="18"/>
              </w:rPr>
              <w:t>30 min (6 updates)</w:t>
            </w:r>
          </w:p>
        </w:tc>
        <w:tc>
          <w:tcPr>
            <w:tcW w:type="dxa" w:w="2268"/>
          </w:tcPr>
          <w:p>
            <w:r>
              <w:rPr>
                <w:rFonts w:ascii="Calibri" w:hAnsi="Calibri"/>
                <w:b w:val="0"/>
                <w:sz w:val="18"/>
              </w:rPr>
              <w:t>-26.5%</w:t>
            </w:r>
          </w:p>
        </w:tc>
        <w:tc>
          <w:tcPr>
            <w:tcW w:type="dxa" w:w="3969"/>
          </w:tcPr>
          <w:p>
            <w:r>
              <w:rPr>
                <w:rFonts w:ascii="Calibri" w:hAnsi="Calibri"/>
                <w:b w:val="0"/>
                <w:sz w:val="18"/>
              </w:rPr>
              <w:t>Liquidates HF ≤ 1.36</w:t>
            </w:r>
          </w:p>
        </w:tc>
      </w:tr>
      <w:tr>
        <w:tc>
          <w:tcPr>
            <w:tcW w:type="dxa" w:w="2268"/>
            <w:shd w:fill="F5F5FA"/>
          </w:tcPr>
          <w:p>
            <w:r>
              <w:rPr>
                <w:rFonts w:ascii="Calibri" w:hAnsi="Calibri"/>
                <w:b w:val="0"/>
                <w:sz w:val="18"/>
              </w:rPr>
              <w:t>1 hour (12 updates)</w:t>
            </w:r>
          </w:p>
        </w:tc>
        <w:tc>
          <w:tcPr>
            <w:tcW w:type="dxa" w:w="2268"/>
            <w:shd w:fill="F5F5FA"/>
          </w:tcPr>
          <w:p>
            <w:r>
              <w:rPr>
                <w:rFonts w:ascii="Calibri" w:hAnsi="Calibri"/>
                <w:b w:val="0"/>
                <w:sz w:val="18"/>
              </w:rPr>
              <w:t>-46.0%</w:t>
            </w:r>
          </w:p>
        </w:tc>
        <w:tc>
          <w:tcPr>
            <w:tcW w:type="dxa" w:w="3969"/>
            <w:shd w:fill="F5F5FA"/>
          </w:tcPr>
          <w:p>
            <w:r>
              <w:rPr>
                <w:rFonts w:ascii="Calibri" w:hAnsi="Calibri"/>
                <w:b w:val="0"/>
                <w:sz w:val="18"/>
              </w:rPr>
              <w:t>Catastrophic</w:t>
            </w:r>
          </w:p>
        </w:tc>
      </w:tr>
    </w:tbl>
    <w:p/>
    <w:p>
      <w:pPr>
        <w:spacing w:before="160" w:after="160"/>
        <w:ind w:left="170"/>
        <w:shd w:fill="FFF3E0" w:val="clear"/>
        <w:pBdr>
          <w:left w:val="single" w:sz="24" w:space="8" w:color="E65100"/>
        </w:pBdr>
      </w:pPr>
      <w:r>
        <w:rPr>
          <w:color w:val="1A1A2E"/>
          <w:sz w:val="19"/>
        </w:rPr>
        <w:t>SDEX depth for Etherfuse stablebonds is near-zero (~$1.39 of bid depth for TESOURO at time of the YieldBlox exploit). Moving the price 5% per update costs almost nothing. The cost of walking the price for one hour: ~$12. The resulting ~46% price drop would be catastrophic for any pool accepting these assets as collateral.</w:t>
      </w:r>
    </w:p>
    <w:p>
      <w:pPr>
        <w:pStyle w:val="Heading2"/>
      </w:pPr>
      <w:r>
        <w:t>6.4 Compounded Attack Scenario</w:t>
      </w:r>
    </w:p>
    <w:p>
      <w:r>
        <w:t>An attacker can combine both vulnerabilities for maximum impact:</w:t>
      </w:r>
    </w:p>
    <w:p>
      <w:pPr>
        <w:spacing w:before="160"/>
      </w:pPr>
      <w:r>
        <w:rPr>
          <w:b/>
          <w:color w:val="C62828"/>
        </w:rPr>
        <w:t>Phase 1 — Interest Rate Spike</w:t>
      </w:r>
    </w:p>
    <w:p>
      <w:r>
        <w:t>Using the leverage loop technique from Section 5, spike the USDC borrowing rate to ~450% APR. This begins eroding the health factor of every borrower in the pool.</w:t>
      </w:r>
    </w:p>
    <w:p>
      <w:pPr>
        <w:spacing w:before="160"/>
      </w:pPr>
      <w:r>
        <w:rPr>
          <w:b/>
          <w:color w:val="C62828"/>
        </w:rPr>
        <w:t>Phase 2 — Oracle Price Manipulation</w:t>
      </w:r>
    </w:p>
    <w:p>
      <w:r>
        <w:t>Simultaneously or after the rate spike, manipulate the SDEX price of the collateral asset downward. The max_dev=5% circuit breaker limits each update, but 5% is sufficient for the first wave of liquidations — and price walking extends the damage over time.</w:t>
      </w:r>
    </w:p>
    <w:p>
      <w:pPr>
        <w:spacing w:before="160"/>
      </w:pPr>
      <w:r>
        <w:rPr>
          <w:b/>
          <w:color w:val="C62828"/>
        </w:rPr>
        <w:t>Phase 3 — Compounded Effect</w:t>
      </w:r>
    </w:p>
    <w:p>
      <w:r>
        <w:t>The two attacks compound multiplicatively: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417"/>
            <w:shd w:fill="1A1A2E"/>
          </w:tcPr>
          <w:p>
            <w:pPr>
              <w:jc w:val="left"/>
            </w:pPr>
            <w:r>
              <w:rPr>
                <w:rFonts w:ascii="Calibri" w:hAnsi="Calibri"/>
                <w:b/>
                <w:color w:val="FFFFFF"/>
                <w:sz w:val="18"/>
              </w:rPr>
              <w:t>Starting HF</w:t>
            </w:r>
          </w:p>
        </w:tc>
        <w:tc>
          <w:tcPr>
            <w:tcW w:type="dxa" w:w="1701"/>
            <w:shd w:fill="1A1A2E"/>
          </w:tcPr>
          <w:p>
            <w:pPr>
              <w:jc w:val="left"/>
            </w:pPr>
            <w:r>
              <w:rPr>
                <w:rFonts w:ascii="Calibri" w:hAnsi="Calibri"/>
                <w:b/>
                <w:color w:val="FFFFFF"/>
                <w:sz w:val="18"/>
              </w:rPr>
              <w:t>After 1 day interest</w:t>
            </w:r>
          </w:p>
        </w:tc>
        <w:tc>
          <w:tcPr>
            <w:tcW w:type="dxa" w:w="1984"/>
            <w:shd w:fill="1A1A2E"/>
          </w:tcPr>
          <w:p>
            <w:pPr>
              <w:jc w:val="left"/>
            </w:pPr>
            <w:r>
              <w:rPr>
                <w:rFonts w:ascii="Calibri" w:hAnsi="Calibri"/>
                <w:b/>
                <w:color w:val="FFFFFF"/>
                <w:sz w:val="18"/>
              </w:rPr>
              <w:t>After 5% price drop</w:t>
            </w:r>
          </w:p>
        </w:tc>
        <w:tc>
          <w:tcPr>
            <w:tcW w:type="dxa" w:w="1417"/>
            <w:shd w:fill="1A1A2E"/>
          </w:tcPr>
          <w:p>
            <w:pPr>
              <w:jc w:val="left"/>
            </w:pPr>
            <w:r>
              <w:rPr>
                <w:rFonts w:ascii="Calibri" w:hAnsi="Calibri"/>
                <w:b/>
                <w:color w:val="FFFFFF"/>
                <w:sz w:val="18"/>
              </w:rPr>
              <w:t>Combined HF</w:t>
            </w:r>
          </w:p>
        </w:tc>
        <w:tc>
          <w:tcPr>
            <w:tcW w:type="dxa" w:w="1984"/>
            <w:shd w:fill="1A1A2E"/>
          </w:tcPr>
          <w:p>
            <w:pPr>
              <w:jc w:val="left"/>
            </w:pPr>
            <w:r>
              <w:rPr>
                <w:rFonts w:ascii="Calibri" w:hAnsi="Calibri"/>
                <w:b/>
                <w:color w:val="FFFFFF"/>
                <w:sz w:val="18"/>
              </w:rPr>
              <w:t>Status</w:t>
            </w:r>
          </w:p>
        </w:tc>
      </w:tr>
      <w:tr>
        <w:tc>
          <w:tcPr>
            <w:tcW w:type="dxa" w:w="1417"/>
          </w:tcPr>
          <w:p>
            <w:r>
              <w:rPr>
                <w:rFonts w:ascii="Calibri" w:hAnsi="Calibri"/>
                <w:b w:val="0"/>
                <w:sz w:val="18"/>
              </w:rPr>
              <w:t>1.05</w:t>
            </w:r>
          </w:p>
        </w:tc>
        <w:tc>
          <w:tcPr>
            <w:tcW w:type="dxa" w:w="1701"/>
          </w:tcPr>
          <w:p>
            <w:r>
              <w:rPr>
                <w:rFonts w:ascii="Calibri" w:hAnsi="Calibri"/>
                <w:b w:val="0"/>
                <w:sz w:val="18"/>
              </w:rPr>
              <w:t>1.037</w:t>
            </w:r>
          </w:p>
        </w:tc>
        <w:tc>
          <w:tcPr>
            <w:tcW w:type="dxa" w:w="1984"/>
          </w:tcPr>
          <w:p>
            <w:r>
              <w:rPr>
                <w:rFonts w:ascii="Calibri" w:hAnsi="Calibri"/>
                <w:b w:val="0"/>
                <w:sz w:val="18"/>
              </w:rPr>
              <w:t>× 0.95 = 0.985</w:t>
            </w:r>
          </w:p>
        </w:tc>
        <w:tc>
          <w:tcPr>
            <w:tcW w:type="dxa" w:w="1417"/>
          </w:tcPr>
          <w:p>
            <w:r>
              <w:rPr>
                <w:rFonts w:ascii="Calibri" w:hAnsi="Calibri"/>
                <w:b w:val="0"/>
                <w:sz w:val="18"/>
              </w:rPr>
              <w:t>0.985</w:t>
            </w:r>
          </w:p>
        </w:tc>
        <w:tc>
          <w:tcPr>
            <w:tcW w:type="dxa" w:w="1984"/>
          </w:tcPr>
          <w:p>
            <w:r>
              <w:rPr>
                <w:rFonts w:ascii="Calibri" w:hAnsi="Calibri"/>
                <w:b w:val="0"/>
                <w:sz w:val="18"/>
              </w:rPr>
              <w:t>Liquidatable</w:t>
            </w:r>
          </w:p>
        </w:tc>
      </w:tr>
      <w:tr>
        <w:tc>
          <w:tcPr>
            <w:tcW w:type="dxa" w:w="1417"/>
            <w:shd w:fill="F5F5FA"/>
          </w:tcPr>
          <w:p>
            <w:r>
              <w:rPr>
                <w:rFonts w:ascii="Calibri" w:hAnsi="Calibri"/>
                <w:b w:val="0"/>
                <w:sz w:val="18"/>
              </w:rPr>
              <w:t>1.10</w:t>
            </w:r>
          </w:p>
        </w:tc>
        <w:tc>
          <w:tcPr>
            <w:tcW w:type="dxa" w:w="1701"/>
            <w:shd w:fill="F5F5FA"/>
          </w:tcPr>
          <w:p>
            <w:r>
              <w:rPr>
                <w:rFonts w:ascii="Calibri" w:hAnsi="Calibri"/>
                <w:b w:val="0"/>
                <w:sz w:val="18"/>
              </w:rPr>
              <w:t>1.087</w:t>
            </w:r>
          </w:p>
        </w:tc>
        <w:tc>
          <w:tcPr>
            <w:tcW w:type="dxa" w:w="1984"/>
            <w:shd w:fill="F5F5FA"/>
          </w:tcPr>
          <w:p>
            <w:r>
              <w:rPr>
                <w:rFonts w:ascii="Calibri" w:hAnsi="Calibri"/>
                <w:b w:val="0"/>
                <w:sz w:val="18"/>
              </w:rPr>
              <w:t>× 0.95 = 1.033</w:t>
            </w:r>
          </w:p>
        </w:tc>
        <w:tc>
          <w:tcPr>
            <w:tcW w:type="dxa" w:w="1417"/>
            <w:shd w:fill="F5F5FA"/>
          </w:tcPr>
          <w:p>
            <w:r>
              <w:rPr>
                <w:rFonts w:ascii="Calibri" w:hAnsi="Calibri"/>
                <w:b w:val="0"/>
                <w:sz w:val="18"/>
              </w:rPr>
              <w:t>1.033</w:t>
            </w:r>
          </w:p>
        </w:tc>
        <w:tc>
          <w:tcPr>
            <w:tcW w:type="dxa" w:w="1984"/>
            <w:shd w:fill="F5F5FA"/>
          </w:tcPr>
          <w:p>
            <w:r>
              <w:rPr>
                <w:rFonts w:ascii="Calibri" w:hAnsi="Calibri"/>
                <w:b w:val="0"/>
                <w:sz w:val="18"/>
              </w:rPr>
              <w:t>At risk</w:t>
            </w:r>
          </w:p>
        </w:tc>
      </w:tr>
      <w:tr>
        <w:tc>
          <w:tcPr>
            <w:tcW w:type="dxa" w:w="1417"/>
          </w:tcPr>
          <w:p>
            <w:r>
              <w:rPr>
                <w:rFonts w:ascii="Calibri" w:hAnsi="Calibri"/>
                <w:b w:val="0"/>
                <w:sz w:val="18"/>
              </w:rPr>
              <w:t>1.15</w:t>
            </w:r>
          </w:p>
        </w:tc>
        <w:tc>
          <w:tcPr>
            <w:tcW w:type="dxa" w:w="1701"/>
          </w:tcPr>
          <w:p>
            <w:r>
              <w:rPr>
                <w:rFonts w:ascii="Calibri" w:hAnsi="Calibri"/>
                <w:b w:val="0"/>
                <w:sz w:val="18"/>
              </w:rPr>
              <w:t>1.136</w:t>
            </w:r>
          </w:p>
        </w:tc>
        <w:tc>
          <w:tcPr>
            <w:tcW w:type="dxa" w:w="1984"/>
          </w:tcPr>
          <w:p>
            <w:r>
              <w:rPr>
                <w:rFonts w:ascii="Calibri" w:hAnsi="Calibri"/>
                <w:b w:val="0"/>
                <w:sz w:val="18"/>
              </w:rPr>
              <w:t>× 0.95 = 1.079</w:t>
            </w:r>
          </w:p>
        </w:tc>
        <w:tc>
          <w:tcPr>
            <w:tcW w:type="dxa" w:w="1417"/>
          </w:tcPr>
          <w:p>
            <w:r>
              <w:rPr>
                <w:rFonts w:ascii="Calibri" w:hAnsi="Calibri"/>
                <w:b w:val="0"/>
                <w:sz w:val="18"/>
              </w:rPr>
              <w:t>1.079</w:t>
            </w:r>
          </w:p>
        </w:tc>
        <w:tc>
          <w:tcPr>
            <w:tcW w:type="dxa" w:w="1984"/>
          </w:tcPr>
          <w:p>
            <w:r>
              <w:rPr>
                <w:rFonts w:ascii="Calibri" w:hAnsi="Calibri"/>
                <w:b w:val="0"/>
                <w:sz w:val="18"/>
              </w:rPr>
              <w:t>Weakened</w:t>
            </w:r>
          </w:p>
        </w:tc>
      </w:tr>
      <w:tr>
        <w:tc>
          <w:tcPr>
            <w:tcW w:type="dxa" w:w="1417"/>
            <w:shd w:fill="F5F5FA"/>
          </w:tcPr>
          <w:p>
            <w:r>
              <w:rPr>
                <w:rFonts w:ascii="Calibri" w:hAnsi="Calibri"/>
                <w:b w:val="0"/>
                <w:sz w:val="18"/>
              </w:rPr>
              <w:t>1.05</w:t>
            </w:r>
          </w:p>
        </w:tc>
        <w:tc>
          <w:tcPr>
            <w:tcW w:type="dxa" w:w="1701"/>
            <w:shd w:fill="F5F5FA"/>
          </w:tcPr>
          <w:p>
            <w:r>
              <w:rPr>
                <w:rFonts w:ascii="Calibri" w:hAnsi="Calibri"/>
                <w:b w:val="0"/>
                <w:sz w:val="18"/>
              </w:rPr>
              <w:t>— (immediate)</w:t>
            </w:r>
          </w:p>
        </w:tc>
        <w:tc>
          <w:tcPr>
            <w:tcW w:type="dxa" w:w="1984"/>
            <w:shd w:fill="F5F5FA"/>
          </w:tcPr>
          <w:p>
            <w:r>
              <w:rPr>
                <w:rFonts w:ascii="Calibri" w:hAnsi="Calibri"/>
                <w:b w:val="0"/>
                <w:sz w:val="18"/>
              </w:rPr>
              <w:t>× 0.95 = 0.998</w:t>
            </w:r>
          </w:p>
        </w:tc>
        <w:tc>
          <w:tcPr>
            <w:tcW w:type="dxa" w:w="1417"/>
            <w:shd w:fill="F5F5FA"/>
          </w:tcPr>
          <w:p>
            <w:r>
              <w:rPr>
                <w:rFonts w:ascii="Calibri" w:hAnsi="Calibri"/>
                <w:b w:val="0"/>
                <w:sz w:val="18"/>
              </w:rPr>
              <w:t>0.998</w:t>
            </w:r>
          </w:p>
        </w:tc>
        <w:tc>
          <w:tcPr>
            <w:tcW w:type="dxa" w:w="1984"/>
            <w:shd w:fill="F5F5FA"/>
          </w:tcPr>
          <w:p>
            <w:r>
              <w:rPr>
                <w:rFonts w:ascii="Calibri" w:hAnsi="Calibri"/>
                <w:b w:val="0"/>
                <w:sz w:val="18"/>
              </w:rPr>
              <w:t>Liquidatable</w:t>
            </w:r>
          </w:p>
        </w:tc>
      </w:tr>
    </w:tbl>
    <w:p/>
    <w:p>
      <w:pPr>
        <w:pStyle w:val="Heading2"/>
      </w:pPr>
      <w:r>
        <w:t>6.5 Why This Remains a Risk</w:t>
      </w:r>
    </w:p>
    <w:p>
      <w:pPr>
        <w:pStyle w:val="ListBullet"/>
        <w:spacing w:after="60"/>
      </w:pPr>
      <w:r>
        <w:t>5% aligns with liquidation threshold: The max_dev cap of 5% coincides exactly with the liquidation margin for max-leverage positions with c_factor 0.80 assets.</w:t>
      </w:r>
    </w:p>
    <w:p>
      <w:pPr>
        <w:pStyle w:val="ListBullet"/>
        <w:spacing w:after="60"/>
      </w:pPr>
      <w:r>
        <w:t>Price walking: If max_dev compares against the last accepted price, the 5% limit can be bypassed over multiple oracle periods (5% every 300 seconds).</w:t>
      </w:r>
    </w:p>
    <w:p>
      <w:pPr>
        <w:pStyle w:val="ListBullet"/>
        <w:spacing w:after="60"/>
      </w:pPr>
      <w:r>
        <w:t>Near-zero SDEX liquidity: The cost to move Etherfuse stablebond prices 5% is negligible.</w:t>
      </w:r>
    </w:p>
    <w:p>
      <w:pPr>
        <w:pStyle w:val="ListBullet"/>
        <w:spacing w:after="60"/>
      </w:pPr>
      <w:r>
        <w:t>No minimum volume check: The oracle adaptor does not verify SDEX trade volume or liquidity depth. A single self-trade on an empty order book is accepted.</w:t>
      </w:r>
    </w:p>
    <w:p>
      <w:pPr>
        <w:pStyle w:val="ListBullet"/>
        <w:spacing w:after="60"/>
      </w:pPr>
      <w:r>
        <w:t>Compounding effect: Interest rate erosion via utilization manipulation pushes borrowers closer to liquidation before the oracle manipulation delivers the final push.</w:t>
      </w:r>
    </w:p>
    <w:p>
      <w:pPr>
        <w:pStyle w:val="Heading2"/>
      </w:pPr>
      <w:r>
        <w:t>6.6 Recommended Additional Mitigations</w:t>
      </w:r>
    </w:p>
    <w:p>
      <w:pPr>
        <w:pStyle w:val="ListBullet"/>
        <w:spacing w:after="80"/>
      </w:pPr>
      <w:r>
        <w:rPr>
          <w:b/>
        </w:rPr>
        <w:t>Fixed reference for max_dev:</w:t>
      </w:r>
      <w:r>
        <w:t xml:space="preserve"> Compare oracle price updates against a TWAP or median of recent values rather than the last accepted price, to prevent price walking.</w:t>
      </w:r>
    </w:p>
    <w:p>
      <w:pPr>
        <w:pStyle w:val="ListBullet"/>
        <w:spacing w:after="80"/>
      </w:pPr>
      <w:r>
        <w:rPr>
          <w:b/>
        </w:rPr>
        <w:t>Minimum liquidity thresholds:</w:t>
      </w:r>
      <w:r>
        <w:t xml:space="preserve"> Reject oracle prices derived from periods with SDEX volume below a configurable threshold.</w:t>
      </w:r>
    </w:p>
    <w:p>
      <w:pPr>
        <w:pStyle w:val="ListBullet"/>
        <w:spacing w:after="80"/>
      </w:pPr>
      <w:r>
        <w:rPr>
          <w:b/>
        </w:rPr>
        <w:t>Multi-source oracle feeds:</w:t>
      </w:r>
      <w:r>
        <w:t xml:space="preserve"> Integrate secondary price sources (e.g., RedStone, which launched Stellar support on March 4, 2026) and require agreement between sources.</w:t>
      </w:r>
    </w:p>
    <w:p>
      <w:pPr>
        <w:pStyle w:val="ListBullet"/>
        <w:spacing w:after="80"/>
      </w:pPr>
      <w:r>
        <w:rPr>
          <w:b/>
        </w:rPr>
        <w:t>Collateral value caps:</w:t>
      </w:r>
      <w:r>
        <w:t xml:space="preserve"> Limit the maximum USD value of collateral that can be posted for thin-market assets, capping exposure to oracle manipulation.</w:t>
      </w:r>
    </w:p>
    <w:p>
      <w:pPr>
        <w:pStyle w:val="ListBullet"/>
        <w:spacing w:after="80"/>
      </w:pPr>
      <w:r>
        <w:rPr>
          <w:b/>
        </w:rPr>
        <w:t>Tighter max_dev for high-leverage assets:</w:t>
      </w:r>
      <w:r>
        <w:t xml:space="preserve"> For assets with c_factor ≥ 0.80 (allowing ≥5× leverage), reduce max_dev to 2–3% so a single oracle update cannot liquidate max-leverage positions.</w:t>
      </w:r>
    </w:p>
    <w:p>
      <w:r>
        <w:br w:type="page"/>
      </w:r>
    </w:p>
    <w:p>
      <w:pPr>
        <w:pStyle w:val="Heading1"/>
      </w:pPr>
      <w:r>
        <w:t>7. Affected Contract Code</w:t>
      </w:r>
    </w:p>
    <w:p>
      <w:pPr>
        <w:pStyle w:val="Heading2"/>
      </w:pPr>
      <w:r>
        <w:t>7.1 apply_borrow — Utilization Check (Only Location)</w:t>
      </w:r>
    </w:p>
    <w:p>
      <w:r>
        <w:rPr>
          <w:rFonts w:ascii="Consolas" w:hAnsi="Consolas"/>
          <w:color w:val="555566"/>
          <w:sz w:val="19"/>
        </w:rPr>
        <w:t>File: pool/src/pool/actions.rs</w:t>
      </w:r>
    </w:p>
    <w:p>
      <w:pPr>
        <w:spacing w:before="80" w:after="80"/>
        <w:ind w:left="283"/>
        <w:shd w:fill="F0F0F5" w:val="clear"/>
      </w:pPr>
      <w:r>
        <w:rPr>
          <w:rFonts w:ascii="Consolas" w:hAnsi="Consolas"/>
          <w:color w:val="333333"/>
          <w:sz w:val="17"/>
        </w:rPr>
        <w:t>fn apply_borrow(/* ... */) {</w:t>
        <w:br/>
        <w:t xml:space="preserve">    // ...</w:t>
        <w:br/>
        <w:t xml:space="preserve">    user.add_liabilities(e, &amp;mut reserve, d_tokens_minted);</w:t>
        <w:br/>
        <w:t xml:space="preserve">    reserve.require_utilization_below_100(e);</w:t>
        <w:br/>
        <w:t xml:space="preserve">    actions.do_check_max_util(&amp;reserve.asset);  // &lt;-- ONLY borrow does this</w:t>
        <w:br/>
        <w:t xml:space="preserve">    actions.add_for_pool_transfer(&amp;reserve.asset, request.amount);</w:t>
        <w:br/>
        <w:t xml:space="preserve">    actions.do_check_health();</w:t>
        <w:br/>
        <w:t>}</w:t>
      </w:r>
    </w:p>
    <w:p>
      <w:pPr>
        <w:pStyle w:val="Heading2"/>
      </w:pPr>
      <w:r>
        <w:t>7.2 apply_withdraw_collateral — No Utilization Cap Check</w:t>
      </w:r>
    </w:p>
    <w:p>
      <w:pPr>
        <w:spacing w:before="80" w:after="80"/>
        <w:ind w:left="283"/>
        <w:shd w:fill="F0F0F5" w:val="clear"/>
      </w:pPr>
      <w:r>
        <w:rPr>
          <w:rFonts w:ascii="Consolas" w:hAnsi="Consolas"/>
          <w:color w:val="333333"/>
          <w:sz w:val="17"/>
        </w:rPr>
        <w:t>fn apply_withdraw_collateral(/* ... */) {</w:t>
        <w:br/>
        <w:t xml:space="preserve">    // ...</w:t>
        <w:br/>
        <w:t xml:space="preserve">    user.remove_collateral(e, &amp;mut reserve, to_burn);</w:t>
        <w:br/>
        <w:t xml:space="preserve">    reserve.require_utilization_below_100(e);  // only hard cap, NOT max_util</w:t>
        <w:br/>
        <w:t xml:space="preserve">    actions.add_for_pool_transfer(&amp;reserve.asset, tokens_out);</w:t>
        <w:br/>
        <w:t xml:space="preserve">    actions.do_check_health();</w:t>
        <w:br/>
        <w:t xml:space="preserve">    // MISSING: actions.do_check_max_util(&amp;reserve.asset);</w:t>
        <w:br/>
        <w:t>}</w:t>
      </w:r>
    </w:p>
    <w:p>
      <w:pPr>
        <w:spacing w:before="160" w:after="160"/>
        <w:ind w:left="170"/>
        <w:shd w:fill="FFF3E0" w:val="clear"/>
        <w:pBdr>
          <w:left w:val="single" w:sz="24" w:space="8" w:color="E65100"/>
        </w:pBdr>
      </w:pPr>
      <w:r>
        <w:rPr>
          <w:color w:val="1A1A2E"/>
          <w:sz w:val="19"/>
        </w:rPr>
        <w:t>The do_check_max_util call is absent from apply_withdraw_collateral. This means withdrawals are not subject to the utilization cap, only the hard 100% solvency ceiling.</w:t>
      </w:r>
    </w:p>
    <w:p>
      <w:pPr>
        <w:pStyle w:val="Heading2"/>
      </w:pPr>
      <w:r>
        <w:t>7.3 validate_submit — Post-Batch Check</w:t>
      </w:r>
    </w:p>
    <w:p>
      <w:pPr>
        <w:spacing w:before="80" w:after="80"/>
        <w:ind w:left="283"/>
        <w:shd w:fill="F0F0F5" w:val="clear"/>
      </w:pPr>
      <w:r>
        <w:rPr>
          <w:rFonts w:ascii="Consolas" w:hAnsi="Consolas"/>
          <w:color w:val="333333"/>
          <w:sz w:val="17"/>
        </w:rPr>
        <w:t>fn validate_submit(e: &amp;Env, actions: &amp;Actions) {</w:t>
        <w:br/>
        <w:t xml:space="preserve">    // Only checks max_util for assets that were BORROWED</w:t>
        <w:br/>
        <w:t xml:space="preserve">    for asset in &amp;actions.check_max_util {</w:t>
        <w:br/>
        <w:t xml:space="preserve">        let reserve = storage::get_reserve(e, asset);</w:t>
        <w:br/>
        <w:t xml:space="preserve">        reserve.require_utilization_below_max(e);  // Error #1207</w:t>
        <w:br/>
        <w:t xml:space="preserve">    }</w:t>
        <w:br/>
        <w:t xml:space="preserve">    // ...</w:t>
        <w:br/>
        <w:t>}</w:t>
      </w:r>
    </w:p>
    <w:p>
      <w:r>
        <w:t xml:space="preserve">The </w:t>
      </w:r>
      <w:r>
        <w:rPr>
          <w:rFonts w:ascii="Consolas" w:hAnsi="Consolas"/>
          <w:sz w:val="19"/>
        </w:rPr>
        <w:t>check_max_util</w:t>
      </w:r>
      <w:r>
        <w:t xml:space="preserve"> set is only populated by </w:t>
      </w:r>
      <w:r>
        <w:rPr>
          <w:rFonts w:ascii="Consolas" w:hAnsi="Consolas"/>
          <w:sz w:val="19"/>
        </w:rPr>
        <w:t>do_check_max_util</w:t>
      </w:r>
      <w:r>
        <w:t xml:space="preserve">, which is only called from </w:t>
      </w:r>
      <w:r>
        <w:rPr>
          <w:rFonts w:ascii="Consolas" w:hAnsi="Consolas"/>
          <w:sz w:val="19"/>
        </w:rPr>
        <w:t>apply_borrow</w:t>
      </w:r>
      <w:r>
        <w:t>. Withdrawals never add to this set.</w:t>
      </w:r>
    </w:p>
    <w:p>
      <w:pPr>
        <w:pStyle w:val="Heading2"/>
      </w:pPr>
      <w:r>
        <w:t>7.4 Interest Rate Model</w:t>
      </w:r>
    </w:p>
    <w:p>
      <w:r>
        <w:rPr>
          <w:rFonts w:ascii="Consolas" w:hAnsi="Consolas"/>
          <w:color w:val="555566"/>
          <w:sz w:val="19"/>
        </w:rPr>
        <w:t>File: pool/src/pool/reserve.rs</w:t>
      </w:r>
    </w:p>
    <w:p>
      <w:r>
        <w:t>Blend uses a three-leg piecewise interest rate function with a dynamic Rate Modifier (RM):</w:t>
      </w:r>
    </w:p>
    <w:p>
      <w:pPr>
        <w:spacing w:before="80" w:after="80"/>
        <w:ind w:left="283"/>
        <w:shd w:fill="F0F0F5" w:val="clear"/>
      </w:pPr>
      <w:r>
        <w:rPr>
          <w:rFonts w:ascii="Consolas" w:hAnsi="Consolas"/>
          <w:color w:val="333333"/>
          <w:sz w:val="18"/>
        </w:rPr>
        <w:t>If utilization &lt;= target:</w:t>
        <w:br/>
        <w:t xml:space="preserve">    rate = R_1 + (utilization / target) * R_2</w:t>
        <w:br/>
        <w:br/>
        <w:t>If utilization &gt; target:</w:t>
        <w:br/>
        <w:t xml:space="preserve">    rate = R_1 + R_2 + ((utilization - target) / (1 - target)) * R_3</w:t>
        <w:br/>
        <w:br/>
        <w:t>On Etherfuse USDC:</w:t>
        <w:br/>
        <w:t xml:space="preserve">    R_1 = 5% APR     (base rate)</w:t>
        <w:br/>
        <w:t xml:space="preserve">    R_2 = 20% APR    (slope below target)</w:t>
        <w:br/>
        <w:t xml:space="preserve">    R_3 = 500% APR   (slope above target - penalty zone)</w:t>
        <w:br/>
        <w:t xml:space="preserve">    Target = 80%</w:t>
      </w:r>
    </w:p>
    <w:p>
      <w:r>
        <w:br w:type="page"/>
      </w:r>
    </w:p>
    <w:p>
      <w:pPr>
        <w:pStyle w:val="Heading1"/>
      </w:pPr>
      <w:r>
        <w:t>8. Recommended Mitigations</w:t>
      </w:r>
    </w:p>
    <w:p>
      <w:pPr>
        <w:pStyle w:val="Heading2"/>
      </w:pPr>
      <w:r>
        <w:t>8.1 Enforce Utilization Cap on Withdrawals (Primary Fix)</w:t>
      </w:r>
    </w:p>
    <w:p>
      <w:r>
        <w:t xml:space="preserve">Add </w:t>
      </w:r>
      <w:r>
        <w:rPr>
          <w:rFonts w:ascii="Consolas" w:hAnsi="Consolas"/>
          <w:sz w:val="19"/>
        </w:rPr>
        <w:t>do_check_max_util</w:t>
      </w:r>
      <w:r>
        <w:t xml:space="preserve"> to both </w:t>
      </w:r>
      <w:r>
        <w:rPr>
          <w:rFonts w:ascii="Consolas" w:hAnsi="Consolas"/>
          <w:sz w:val="19"/>
        </w:rPr>
        <w:t>apply_withdraw</w:t>
      </w:r>
      <w:r>
        <w:t xml:space="preserve"> and </w:t>
      </w:r>
      <w:r>
        <w:rPr>
          <w:rFonts w:ascii="Consolas" w:hAnsi="Consolas"/>
          <w:sz w:val="19"/>
        </w:rPr>
        <w:t>apply_withdraw_collateral</w:t>
      </w:r>
      <w:r>
        <w:t>:</w:t>
      </w:r>
    </w:p>
    <w:p>
      <w:pPr>
        <w:spacing w:before="80" w:after="80"/>
        <w:ind w:left="283"/>
        <w:shd w:fill="F0F0F5" w:val="clear"/>
      </w:pPr>
      <w:r>
        <w:rPr>
          <w:rFonts w:ascii="Consolas" w:hAnsi="Consolas"/>
          <w:color w:val="333333"/>
          <w:sz w:val="17"/>
        </w:rPr>
        <w:t>fn apply_withdraw_collateral(/* ... */) {</w:t>
        <w:br/>
        <w:t xml:space="preserve">    user.remove_collateral(e, &amp;mut reserve, to_burn);</w:t>
        <w:br/>
        <w:t xml:space="preserve">    reserve.require_utilization_below_100(e);</w:t>
        <w:br/>
        <w:t xml:space="preserve">    actions.do_check_max_util(&amp;reserve.asset);  // ADD THIS</w:t>
        <w:br/>
        <w:t xml:space="preserve">    actions.add_for_pool_transfer(&amp;reserve.asset, tokens_out);</w:t>
        <w:br/>
        <w:t xml:space="preserve">    actions.do_check_health();</w:t>
        <w:br/>
        <w:t>}</w:t>
      </w:r>
    </w:p>
    <w:p>
      <w:pPr>
        <w:spacing w:before="160" w:after="160"/>
        <w:ind w:left="170"/>
        <w:shd w:fill="E8F0FE" w:val="clear"/>
        <w:pBdr>
          <w:left w:val="single" w:sz="24" w:space="8" w:color="1A73E8"/>
        </w:pBdr>
      </w:pPr>
      <w:r>
        <w:rPr>
          <w:color w:val="1A1A2E"/>
          <w:sz w:val="19"/>
        </w:rPr>
        <w:t>Trade-off: This would also block legitimate suppliers from withdrawing when utilization organically exceeds the cap. A more nuanced approach: block withdrawals that increase utilization above the cap, while allowing withdrawals that keep utilization at or below its current level.</w:t>
      </w:r>
    </w:p>
    <w:p>
      <w:pPr>
        <w:pStyle w:val="Heading2"/>
      </w:pPr>
      <w:r>
        <w:t>8.2 Same-Asset Loop Detection / Restriction</w:t>
      </w:r>
    </w:p>
    <w:p>
      <w:r>
        <w:t>Consider restricting same-asset leverage loops at the contract level:</w:t>
      </w:r>
    </w:p>
    <w:p>
      <w:pPr>
        <w:pStyle w:val="ListBullet"/>
        <w:spacing w:after="80"/>
      </w:pPr>
      <w:r>
        <w:rPr>
          <w:b/>
        </w:rPr>
        <w:t>Option A:</w:t>
      </w:r>
      <w:r>
        <w:t xml:space="preserve"> Disallow borrowing an asset that the user is simultaneously supplying as collateral in the same submit batch.</w:t>
      </w:r>
    </w:p>
    <w:p>
      <w:pPr>
        <w:pStyle w:val="ListBullet"/>
        <w:spacing w:after="80"/>
      </w:pPr>
      <w:r>
        <w:rPr>
          <w:b/>
        </w:rPr>
        <w:t>Option B:</w:t>
      </w:r>
      <w:r>
        <w:t xml:space="preserve"> Compute utilization using net supply/borrows (excluding self-referential positions) for the max_util check.</w:t>
      </w:r>
    </w:p>
    <w:p>
      <w:pPr>
        <w:pStyle w:val="ListBullet"/>
        <w:spacing w:after="80"/>
      </w:pPr>
      <w:r>
        <w:rPr>
          <w:b/>
        </w:rPr>
        <w:t>Option C:</w:t>
      </w:r>
      <w:r>
        <w:t xml:space="preserve"> Implement per-reserve supply caps (as Aave did post-CRV incident).</w:t>
      </w:r>
    </w:p>
    <w:p>
      <w:pPr>
        <w:pStyle w:val="Heading2"/>
      </w:pPr>
      <w:r>
        <w:t>8.3 Post-Batch Utilization Invariant</w:t>
      </w:r>
    </w:p>
    <w:p>
      <w:r>
        <w:t>Rather than checking utilization per-operation, enforce a global invariant at the end of validate_submit:</w:t>
      </w:r>
    </w:p>
    <w:p>
      <w:pPr>
        <w:spacing w:before="80" w:after="80"/>
        <w:ind w:left="283"/>
        <w:shd w:fill="F0F0F5" w:val="clear"/>
      </w:pPr>
      <w:r>
        <w:rPr>
          <w:rFonts w:ascii="Consolas" w:hAnsi="Consolas"/>
          <w:color w:val="333333"/>
          <w:sz w:val="17"/>
        </w:rPr>
        <w:t>For every reserve TOUCHED in this batch:</w:t>
        <w:br/>
        <w:t xml:space="preserve">    require_utilization_below_max(e)</w:t>
      </w:r>
    </w:p>
    <w:p>
      <w:r>
        <w:t>This ensures that no combination of operations within a single submit call can leave the pool above the utilization cap.</w:t>
      </w:r>
    </w:p>
    <w:p>
      <w:pPr>
        <w:pStyle w:val="Heading2"/>
      </w:pPr>
      <w:r>
        <w:t>8.4 Rate Manipulation Guard</w:t>
      </w:r>
    </w:p>
    <w:p>
      <w:r>
        <w:t>Consider rate-of-change limits on the interest rate model to prevent sudden spikes from single-transaction utilization manipulation.</w:t>
      </w:r>
    </w:p>
    <w:p>
      <w:r>
        <w:br w:type="page"/>
      </w:r>
    </w:p>
    <w:p>
      <w:pPr>
        <w:pStyle w:val="Heading1"/>
      </w:pPr>
      <w:r>
        <w:t>9. Conclusion</w:t>
      </w:r>
    </w:p>
    <w:p>
      <w:r>
        <w:t>The Blend Protocol v2 pool contract enforces its utilization cap (max_util) only on borrow operations. This asymmetry enables same-asset leverage loops to temporarily suppress apparent utilization, allowing liquidity withdrawals that violate the cap. More critically, when the loop is unwound, the resulting utilization spike pushes borrowing rates into the R_3 penalty zone (up to 500% APR on Etherfuse USDC), creating a profitable interest rate manipulation attack that harms all borrowers in the reserve.</w:t>
      </w:r>
    </w:p>
    <w:p>
      <w:r>
        <w:t>The vulnerability was demonstrated on Stellar Mainnet, resulting in:</w:t>
      </w:r>
    </w:p>
    <w:p>
      <w:pPr>
        <w:pStyle w:val="ListBullet"/>
        <w:spacing w:after="60"/>
      </w:pPr>
      <w:r>
        <w:t>Post-exploit utilization of 97.21% against a configured cap of 95%</w:t>
      </w:r>
    </w:p>
    <w:p>
      <w:pPr>
        <w:pStyle w:val="ListBullet"/>
        <w:spacing w:after="60"/>
      </w:pPr>
      <w:r>
        <w:t>Borrowing rates spiking to ~450% APR</w:t>
      </w:r>
    </w:p>
    <w:p>
      <w:pPr>
        <w:pStyle w:val="ListBullet"/>
        <w:spacing w:after="60"/>
      </w:pPr>
      <w:r>
        <w:t>Observable user impact on the Blend Discord within hours</w:t>
      </w:r>
    </w:p>
    <w:p>
      <w:pPr>
        <w:pStyle w:val="ListBullet"/>
        <w:spacing w:after="60"/>
      </w:pPr>
      <w:r>
        <w:t>Potential forced liquidation of borrowers with health factors below ~1.10</w:t>
      </w:r>
    </w:p>
    <w:p>
      <w:r>
        <w:t>The attack requires minimal capital (a few hundred USDC), costs only gas fees, and can be executed within a single Stellar ledger. This pattern closely parallels the Aave V2/CRV incident that resulted in $1.6M in bad debt.</w:t>
      </w:r>
    </w:p>
    <w:p>
      <w:pPr>
        <w:spacing w:before="160"/>
      </w:pPr>
      <w:r>
        <w:t>We recommend enforcing the utilization cap on withdrawal operations as a priority fix, and implementing supply caps or loop restrictions as defense-in-depth measures.</w:t>
      </w:r>
    </w:p>
    <w:p>
      <w:pPr>
        <w:spacing w:before="600"/>
      </w:pPr>
      <w:r>
        <w:rPr>
          <w:color w:val="CCCCCC"/>
        </w:rPr>
        <w:t>━━━━━━━━━━━━━━━━━━━━━━━━━━━━━━━━━━━━━━━━━━━━━━━━━━━━━━━━━━━━</w:t>
      </w:r>
    </w:p>
    <w:p>
      <w:pPr>
        <w:jc w:val="center"/>
      </w:pPr>
      <w:r>
        <w:rPr>
          <w:i/>
          <w:color w:val="888888"/>
          <w:sz w:val="17"/>
        </w:rPr>
        <w:t>This report was prepared based on on-chain transaction analysis and source code review of the blend-contracts-v2 repository. All transaction hashes reference Stellar Mainnet and can be independently verified. The exploit was conducted by the reporter for security research purposes and all positions have been closed.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1A1A2E"/>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