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0CF4F" w14:textId="77777777" w:rsidR="006A5FDE" w:rsidRDefault="006A5FDE" w:rsidP="006A5FDE">
      <w:pPr>
        <w:pStyle w:val="TOC1"/>
        <w:jc w:val="both"/>
        <w:rPr>
          <w:lang w:val="en-US"/>
        </w:rPr>
      </w:pPr>
      <w:bookmarkStart w:id="0" w:name="_Hlk194325268"/>
      <w:r>
        <w:rPr>
          <w:lang w:val="en-US"/>
        </w:rPr>
        <w:t>Approval</w:t>
      </w:r>
    </w:p>
    <w:p w14:paraId="752DE3E9" w14:textId="77777777" w:rsidR="006A5FDE" w:rsidRDefault="006A5FDE" w:rsidP="006A5FDE">
      <w:pPr>
        <w:spacing w:after="240"/>
        <w:jc w:val="both"/>
        <w:rPr>
          <w:rFonts w:cstheme="minorHAnsi"/>
          <w:szCs w:val="20"/>
          <w:lang w:val="en-US"/>
        </w:rPr>
      </w:pPr>
      <w:r>
        <w:rPr>
          <w:rFonts w:cstheme="minorHAnsi"/>
          <w:szCs w:val="20"/>
          <w:lang w:val="en-US"/>
        </w:rPr>
        <w:t xml:space="preserve">The </w:t>
      </w:r>
      <w:r>
        <w:rPr>
          <w:szCs w:val="20"/>
          <w:lang w:val="en-US"/>
        </w:rPr>
        <w:t>signatures below certify that this management system policy has been reviewed and accepted, and demonstrates that the signatories are aware of all the requirements contained herein and are committed to ensuring their provision</w:t>
      </w:r>
      <w:r>
        <w:rPr>
          <w:rFonts w:cstheme="minorHAnsi"/>
          <w:szCs w:val="20"/>
          <w:lang w:val="en-US"/>
        </w:rPr>
        <w:t>.</w:t>
      </w:r>
    </w:p>
    <w:tbl>
      <w:tblPr>
        <w:tblW w:w="900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325"/>
        <w:gridCol w:w="2384"/>
        <w:gridCol w:w="1892"/>
        <w:gridCol w:w="2214"/>
        <w:gridCol w:w="1191"/>
      </w:tblGrid>
      <w:tr w:rsidR="006A5FDE" w14:paraId="06354925" w14:textId="77777777" w:rsidTr="001B259F">
        <w:trPr>
          <w:trHeight w:val="303"/>
        </w:trPr>
        <w:tc>
          <w:tcPr>
            <w:tcW w:w="13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C8D5628" w14:textId="77777777" w:rsidR="006A5FDE" w:rsidRDefault="006A5FDE">
            <w:pPr>
              <w:pStyle w:val="NoSpacing"/>
              <w:spacing w:line="276" w:lineRule="auto"/>
              <w:jc w:val="both"/>
              <w:rPr>
                <w:kern w:val="2"/>
                <w14:ligatures w14:val="standardContextual"/>
              </w:rPr>
            </w:pPr>
          </w:p>
        </w:tc>
        <w:tc>
          <w:tcPr>
            <w:tcW w:w="23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552F27C1" w14:textId="77777777" w:rsidR="006A5FDE" w:rsidRDefault="006A5FDE">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Name</w:t>
            </w:r>
          </w:p>
        </w:tc>
        <w:tc>
          <w:tcPr>
            <w:tcW w:w="18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0D14EE42" w14:textId="77777777" w:rsidR="006A5FDE" w:rsidRDefault="006A5FDE">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Signature</w:t>
            </w:r>
          </w:p>
        </w:tc>
        <w:tc>
          <w:tcPr>
            <w:tcW w:w="22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770516F7" w14:textId="77777777" w:rsidR="006A5FDE" w:rsidRDefault="006A5FDE">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Position</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194EFC64" w14:textId="77777777" w:rsidR="006A5FDE" w:rsidRDefault="006A5FDE">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Date</w:t>
            </w:r>
          </w:p>
        </w:tc>
      </w:tr>
      <w:tr w:rsidR="006A5FDE" w14:paraId="5610DADB" w14:textId="77777777" w:rsidTr="001B259F">
        <w:trPr>
          <w:trHeight w:val="726"/>
        </w:trPr>
        <w:tc>
          <w:tcPr>
            <w:tcW w:w="13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4543C87D" w14:textId="77777777" w:rsidR="006A5FDE" w:rsidRDefault="006A5FDE">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Prepared by</w:t>
            </w:r>
          </w:p>
        </w:tc>
        <w:tc>
          <w:tcPr>
            <w:tcW w:w="23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546F3827" w14:textId="77777777" w:rsidR="006A5FDE" w:rsidRDefault="006A5FDE">
            <w:pPr>
              <w:spacing w:after="0"/>
              <w:jc w:val="both"/>
              <w:rPr>
                <w:lang w:val="en-US"/>
              </w:rPr>
            </w:pPr>
            <w:r>
              <w:rPr>
                <w:lang w:val="en-US"/>
              </w:rPr>
              <w:t>Dhairyasheel Ashok Mulik Patil</w:t>
            </w:r>
          </w:p>
        </w:tc>
        <w:tc>
          <w:tcPr>
            <w:tcW w:w="18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9CA1AB7" w14:textId="77777777" w:rsidR="006A5FDE" w:rsidRDefault="006A5FDE">
            <w:pPr>
              <w:spacing w:after="0"/>
              <w:jc w:val="both"/>
              <w:rPr>
                <w:lang w:val="en-US"/>
              </w:rPr>
            </w:pPr>
          </w:p>
        </w:tc>
        <w:tc>
          <w:tcPr>
            <w:tcW w:w="22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696FC38E" w14:textId="77777777" w:rsidR="006A5FDE" w:rsidRDefault="006A5FDE">
            <w:pPr>
              <w:spacing w:after="0"/>
              <w:jc w:val="both"/>
              <w:rPr>
                <w:lang w:val="en-US"/>
              </w:rPr>
            </w:pPr>
            <w:r>
              <w:rPr>
                <w:lang w:val="en-US"/>
              </w:rPr>
              <w:t>Quality Manager</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FAE200F" w14:textId="77777777" w:rsidR="006A5FDE" w:rsidRDefault="006A5FDE">
            <w:pPr>
              <w:spacing w:after="0"/>
              <w:jc w:val="both"/>
              <w:rPr>
                <w:lang w:val="en-US"/>
              </w:rPr>
            </w:pPr>
          </w:p>
        </w:tc>
      </w:tr>
      <w:tr w:rsidR="006A5FDE" w14:paraId="0073126A" w14:textId="77777777" w:rsidTr="001B259F">
        <w:trPr>
          <w:trHeight w:val="726"/>
        </w:trPr>
        <w:tc>
          <w:tcPr>
            <w:tcW w:w="13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5FA8E3B1" w14:textId="77777777" w:rsidR="006A5FDE" w:rsidRDefault="006A5FDE">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Reviewed by</w:t>
            </w:r>
          </w:p>
        </w:tc>
        <w:tc>
          <w:tcPr>
            <w:tcW w:w="23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6D33D8DC" w14:textId="77777777" w:rsidR="006A5FDE" w:rsidRDefault="006A5FDE">
            <w:pPr>
              <w:spacing w:after="0"/>
              <w:jc w:val="both"/>
              <w:rPr>
                <w:lang w:val="en-US"/>
              </w:rPr>
            </w:pPr>
            <w:r>
              <w:rPr>
                <w:lang w:val="en-US"/>
              </w:rPr>
              <w:t>Dr Prveen Bidare</w:t>
            </w:r>
          </w:p>
        </w:tc>
        <w:tc>
          <w:tcPr>
            <w:tcW w:w="18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9136EC6" w14:textId="77777777" w:rsidR="006A5FDE" w:rsidRDefault="006A5FDE">
            <w:pPr>
              <w:spacing w:after="0"/>
              <w:jc w:val="both"/>
              <w:rPr>
                <w:lang w:val="en-US"/>
              </w:rPr>
            </w:pPr>
          </w:p>
        </w:tc>
        <w:tc>
          <w:tcPr>
            <w:tcW w:w="22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798D8FB2" w14:textId="77777777" w:rsidR="006A5FDE" w:rsidRDefault="006A5FDE">
            <w:pPr>
              <w:spacing w:after="0"/>
              <w:jc w:val="both"/>
              <w:rPr>
                <w:lang w:val="en-US"/>
              </w:rPr>
            </w:pPr>
            <w:r>
              <w:rPr>
                <w:lang w:val="en-US"/>
              </w:rPr>
              <w:t>Senior Engineer</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6CEA3EA" w14:textId="77777777" w:rsidR="006A5FDE" w:rsidRDefault="006A5FDE">
            <w:pPr>
              <w:spacing w:after="0"/>
              <w:jc w:val="both"/>
              <w:rPr>
                <w:lang w:val="en-US"/>
              </w:rPr>
            </w:pPr>
          </w:p>
        </w:tc>
      </w:tr>
      <w:tr w:rsidR="006A5FDE" w14:paraId="207E5FAF" w14:textId="77777777" w:rsidTr="001B259F">
        <w:trPr>
          <w:trHeight w:val="726"/>
        </w:trPr>
        <w:tc>
          <w:tcPr>
            <w:tcW w:w="13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59962E25" w14:textId="77777777" w:rsidR="006A5FDE" w:rsidRDefault="006A5FDE">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Approved by</w:t>
            </w:r>
          </w:p>
        </w:tc>
        <w:tc>
          <w:tcPr>
            <w:tcW w:w="23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71751FC6" w14:textId="77777777" w:rsidR="006A5FDE" w:rsidRDefault="006A5FDE">
            <w:pPr>
              <w:spacing w:after="0"/>
              <w:jc w:val="both"/>
              <w:rPr>
                <w:lang w:val="en-US"/>
              </w:rPr>
            </w:pPr>
            <w:r>
              <w:rPr>
                <w:lang w:val="en-US"/>
              </w:rPr>
              <w:t>Joyti Bidare</w:t>
            </w:r>
          </w:p>
        </w:tc>
        <w:tc>
          <w:tcPr>
            <w:tcW w:w="18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550EE89" w14:textId="77777777" w:rsidR="006A5FDE" w:rsidRDefault="006A5FDE">
            <w:pPr>
              <w:spacing w:after="0"/>
              <w:jc w:val="both"/>
              <w:rPr>
                <w:lang w:val="en-US"/>
              </w:rPr>
            </w:pPr>
          </w:p>
        </w:tc>
        <w:tc>
          <w:tcPr>
            <w:tcW w:w="22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7CDBBE21" w14:textId="77777777" w:rsidR="006A5FDE" w:rsidRDefault="006A5FDE">
            <w:pPr>
              <w:spacing w:after="0"/>
              <w:jc w:val="both"/>
              <w:rPr>
                <w:lang w:val="en-US"/>
              </w:rPr>
            </w:pPr>
            <w:r>
              <w:rPr>
                <w:lang w:val="en-US"/>
              </w:rPr>
              <w:t>CEO</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519F951" w14:textId="77777777" w:rsidR="006A5FDE" w:rsidRDefault="006A5FDE">
            <w:pPr>
              <w:spacing w:after="0"/>
              <w:jc w:val="both"/>
              <w:rPr>
                <w:lang w:val="en-US"/>
              </w:rPr>
            </w:pPr>
          </w:p>
        </w:tc>
      </w:tr>
    </w:tbl>
    <w:p w14:paraId="2B298C73" w14:textId="77777777" w:rsidR="006A5FDE" w:rsidRDefault="006A5FDE" w:rsidP="006A5FDE">
      <w:pPr>
        <w:pStyle w:val="TOC1"/>
        <w:jc w:val="both"/>
        <w:rPr>
          <w:lang w:val="en-US"/>
        </w:rPr>
      </w:pPr>
      <w:r>
        <w:rPr>
          <w:lang w:val="en-US"/>
        </w:rPr>
        <w:t>Amendment Record</w:t>
      </w:r>
    </w:p>
    <w:p w14:paraId="73FDE361" w14:textId="77777777" w:rsidR="006A5FDE" w:rsidRDefault="006A5FDE" w:rsidP="006A5FDE">
      <w:pPr>
        <w:spacing w:after="240"/>
        <w:jc w:val="both"/>
        <w:rPr>
          <w:lang w:val="en-US"/>
        </w:rPr>
      </w:pPr>
      <w:r>
        <w:rPr>
          <w:lang w:val="en-US"/>
        </w:rPr>
        <w:t>This procedure is reviewed to ensure its continuing relevance to the systems and process that it describes. A record of contextual additions or omissions is given below:</w:t>
      </w:r>
    </w:p>
    <w:tbl>
      <w:tblPr>
        <w:tblW w:w="894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316"/>
        <w:gridCol w:w="5132"/>
        <w:gridCol w:w="1316"/>
        <w:gridCol w:w="1183"/>
      </w:tblGrid>
      <w:tr w:rsidR="006A5FDE" w14:paraId="46A96DF2" w14:textId="77777777" w:rsidTr="001B259F">
        <w:trPr>
          <w:trHeight w:val="290"/>
        </w:trPr>
        <w:tc>
          <w:tcPr>
            <w:tcW w:w="1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6E08E4A4" w14:textId="77777777" w:rsidR="006A5FDE" w:rsidRDefault="006A5FDE">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Page No.</w:t>
            </w:r>
          </w:p>
        </w:tc>
        <w:tc>
          <w:tcPr>
            <w:tcW w:w="5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663850B3" w14:textId="77777777" w:rsidR="006A5FDE" w:rsidRDefault="006A5FDE">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Context</w:t>
            </w:r>
          </w:p>
        </w:tc>
        <w:tc>
          <w:tcPr>
            <w:tcW w:w="1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197CDD3D" w14:textId="77777777" w:rsidR="006A5FDE" w:rsidRDefault="006A5FDE">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Revision</w:t>
            </w:r>
          </w:p>
        </w:tc>
        <w:tc>
          <w:tcPr>
            <w:tcW w:w="1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66402A73" w14:textId="77777777" w:rsidR="006A5FDE" w:rsidRDefault="006A5FDE">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Date</w:t>
            </w:r>
          </w:p>
        </w:tc>
      </w:tr>
      <w:tr w:rsidR="006A5FDE" w14:paraId="052E6671" w14:textId="77777777" w:rsidTr="001B259F">
        <w:trPr>
          <w:trHeight w:val="347"/>
        </w:trPr>
        <w:tc>
          <w:tcPr>
            <w:tcW w:w="1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CEBB387" w14:textId="77777777" w:rsidR="006A5FDE" w:rsidRDefault="006A5FDE">
            <w:pPr>
              <w:spacing w:after="0"/>
              <w:jc w:val="both"/>
              <w:rPr>
                <w:lang w:val="en-US"/>
              </w:rPr>
            </w:pPr>
          </w:p>
        </w:tc>
        <w:tc>
          <w:tcPr>
            <w:tcW w:w="5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9534159" w14:textId="77777777" w:rsidR="006A5FDE" w:rsidRDefault="006A5FDE">
            <w:pPr>
              <w:spacing w:after="0"/>
              <w:jc w:val="both"/>
              <w:rPr>
                <w:lang w:val="en-US"/>
              </w:rPr>
            </w:pPr>
          </w:p>
        </w:tc>
        <w:tc>
          <w:tcPr>
            <w:tcW w:w="1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9FEBE2F" w14:textId="77777777" w:rsidR="006A5FDE" w:rsidRDefault="006A5FDE">
            <w:pPr>
              <w:spacing w:after="0"/>
              <w:jc w:val="both"/>
              <w:rPr>
                <w:lang w:val="en-US"/>
              </w:rPr>
            </w:pPr>
          </w:p>
        </w:tc>
        <w:tc>
          <w:tcPr>
            <w:tcW w:w="1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CD2FC86" w14:textId="77777777" w:rsidR="006A5FDE" w:rsidRDefault="006A5FDE">
            <w:pPr>
              <w:spacing w:after="0"/>
              <w:jc w:val="both"/>
              <w:rPr>
                <w:lang w:val="en-US"/>
              </w:rPr>
            </w:pPr>
          </w:p>
        </w:tc>
      </w:tr>
      <w:tr w:rsidR="006A5FDE" w14:paraId="0BB50336" w14:textId="77777777" w:rsidTr="001B259F">
        <w:trPr>
          <w:trHeight w:val="347"/>
        </w:trPr>
        <w:tc>
          <w:tcPr>
            <w:tcW w:w="1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01CB4A5" w14:textId="77777777" w:rsidR="006A5FDE" w:rsidRDefault="006A5FDE">
            <w:pPr>
              <w:spacing w:after="0"/>
              <w:jc w:val="both"/>
              <w:rPr>
                <w:lang w:val="en-US"/>
              </w:rPr>
            </w:pPr>
          </w:p>
        </w:tc>
        <w:tc>
          <w:tcPr>
            <w:tcW w:w="5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84B159A" w14:textId="77777777" w:rsidR="006A5FDE" w:rsidRDefault="006A5FDE">
            <w:pPr>
              <w:spacing w:after="0"/>
              <w:jc w:val="both"/>
              <w:rPr>
                <w:lang w:val="en-US"/>
              </w:rPr>
            </w:pPr>
          </w:p>
        </w:tc>
        <w:tc>
          <w:tcPr>
            <w:tcW w:w="1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38891DC" w14:textId="77777777" w:rsidR="006A5FDE" w:rsidRDefault="006A5FDE">
            <w:pPr>
              <w:spacing w:after="0"/>
              <w:jc w:val="both"/>
              <w:rPr>
                <w:lang w:val="en-US"/>
              </w:rPr>
            </w:pPr>
          </w:p>
        </w:tc>
        <w:tc>
          <w:tcPr>
            <w:tcW w:w="1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9506164" w14:textId="77777777" w:rsidR="006A5FDE" w:rsidRDefault="006A5FDE">
            <w:pPr>
              <w:spacing w:after="0"/>
              <w:jc w:val="both"/>
              <w:rPr>
                <w:lang w:val="en-US"/>
              </w:rPr>
            </w:pPr>
          </w:p>
        </w:tc>
      </w:tr>
      <w:tr w:rsidR="006A5FDE" w14:paraId="63369CBD" w14:textId="77777777" w:rsidTr="001B259F">
        <w:trPr>
          <w:trHeight w:val="347"/>
        </w:trPr>
        <w:tc>
          <w:tcPr>
            <w:tcW w:w="1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A48E5D7" w14:textId="77777777" w:rsidR="006A5FDE" w:rsidRDefault="006A5FDE">
            <w:pPr>
              <w:spacing w:after="0"/>
              <w:jc w:val="both"/>
              <w:rPr>
                <w:lang w:val="en-US"/>
              </w:rPr>
            </w:pPr>
          </w:p>
        </w:tc>
        <w:tc>
          <w:tcPr>
            <w:tcW w:w="5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9A63DED" w14:textId="77777777" w:rsidR="006A5FDE" w:rsidRDefault="006A5FDE">
            <w:pPr>
              <w:spacing w:after="0"/>
              <w:jc w:val="both"/>
              <w:rPr>
                <w:lang w:val="en-US"/>
              </w:rPr>
            </w:pPr>
          </w:p>
        </w:tc>
        <w:tc>
          <w:tcPr>
            <w:tcW w:w="1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9A27841" w14:textId="77777777" w:rsidR="006A5FDE" w:rsidRDefault="006A5FDE">
            <w:pPr>
              <w:spacing w:after="0"/>
              <w:jc w:val="both"/>
              <w:rPr>
                <w:lang w:val="en-US"/>
              </w:rPr>
            </w:pPr>
          </w:p>
        </w:tc>
        <w:tc>
          <w:tcPr>
            <w:tcW w:w="1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8EC1036" w14:textId="77777777" w:rsidR="006A5FDE" w:rsidRDefault="006A5FDE">
            <w:pPr>
              <w:spacing w:after="0"/>
              <w:jc w:val="both"/>
              <w:rPr>
                <w:lang w:val="en-US"/>
              </w:rPr>
            </w:pPr>
          </w:p>
        </w:tc>
      </w:tr>
      <w:tr w:rsidR="006A5FDE" w14:paraId="0BE8EA2B" w14:textId="77777777" w:rsidTr="001B259F">
        <w:trPr>
          <w:trHeight w:val="347"/>
        </w:trPr>
        <w:tc>
          <w:tcPr>
            <w:tcW w:w="1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127F68C" w14:textId="77777777" w:rsidR="006A5FDE" w:rsidRDefault="006A5FDE">
            <w:pPr>
              <w:spacing w:after="0"/>
              <w:jc w:val="both"/>
              <w:rPr>
                <w:lang w:val="en-US"/>
              </w:rPr>
            </w:pPr>
          </w:p>
        </w:tc>
        <w:tc>
          <w:tcPr>
            <w:tcW w:w="5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52A2450" w14:textId="77777777" w:rsidR="006A5FDE" w:rsidRDefault="006A5FDE">
            <w:pPr>
              <w:spacing w:after="0"/>
              <w:jc w:val="both"/>
              <w:rPr>
                <w:lang w:val="en-US"/>
              </w:rPr>
            </w:pPr>
          </w:p>
        </w:tc>
        <w:tc>
          <w:tcPr>
            <w:tcW w:w="1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CBFE788" w14:textId="77777777" w:rsidR="006A5FDE" w:rsidRDefault="006A5FDE">
            <w:pPr>
              <w:spacing w:after="0"/>
              <w:jc w:val="both"/>
              <w:rPr>
                <w:lang w:val="en-US"/>
              </w:rPr>
            </w:pPr>
          </w:p>
        </w:tc>
        <w:tc>
          <w:tcPr>
            <w:tcW w:w="1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9221769" w14:textId="77777777" w:rsidR="006A5FDE" w:rsidRDefault="006A5FDE">
            <w:pPr>
              <w:spacing w:after="0"/>
              <w:jc w:val="both"/>
              <w:rPr>
                <w:lang w:val="en-US"/>
              </w:rPr>
            </w:pPr>
          </w:p>
        </w:tc>
      </w:tr>
      <w:tr w:rsidR="006A5FDE" w14:paraId="01A391EE" w14:textId="77777777" w:rsidTr="001B259F">
        <w:trPr>
          <w:trHeight w:val="347"/>
        </w:trPr>
        <w:tc>
          <w:tcPr>
            <w:tcW w:w="1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16C30FE" w14:textId="77777777" w:rsidR="006A5FDE" w:rsidRDefault="006A5FDE">
            <w:pPr>
              <w:spacing w:after="0"/>
              <w:jc w:val="both"/>
              <w:rPr>
                <w:lang w:val="en-US"/>
              </w:rPr>
            </w:pPr>
          </w:p>
        </w:tc>
        <w:tc>
          <w:tcPr>
            <w:tcW w:w="5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EA02AAF" w14:textId="77777777" w:rsidR="006A5FDE" w:rsidRDefault="006A5FDE">
            <w:pPr>
              <w:spacing w:after="0"/>
              <w:jc w:val="both"/>
              <w:rPr>
                <w:lang w:val="en-US"/>
              </w:rPr>
            </w:pPr>
          </w:p>
        </w:tc>
        <w:tc>
          <w:tcPr>
            <w:tcW w:w="1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1924E12" w14:textId="77777777" w:rsidR="006A5FDE" w:rsidRDefault="006A5FDE">
            <w:pPr>
              <w:spacing w:after="0"/>
              <w:jc w:val="both"/>
              <w:rPr>
                <w:lang w:val="en-US"/>
              </w:rPr>
            </w:pPr>
          </w:p>
        </w:tc>
        <w:tc>
          <w:tcPr>
            <w:tcW w:w="1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4C9ED5A" w14:textId="77777777" w:rsidR="006A5FDE" w:rsidRDefault="006A5FDE">
            <w:pPr>
              <w:spacing w:after="0"/>
              <w:jc w:val="both"/>
              <w:rPr>
                <w:lang w:val="en-US"/>
              </w:rPr>
            </w:pPr>
          </w:p>
        </w:tc>
      </w:tr>
      <w:tr w:rsidR="006A5FDE" w14:paraId="32A82ACB" w14:textId="77777777" w:rsidTr="001B259F">
        <w:trPr>
          <w:trHeight w:val="347"/>
        </w:trPr>
        <w:tc>
          <w:tcPr>
            <w:tcW w:w="1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B22113A" w14:textId="77777777" w:rsidR="006A5FDE" w:rsidRDefault="006A5FDE">
            <w:pPr>
              <w:spacing w:after="0"/>
              <w:jc w:val="both"/>
              <w:rPr>
                <w:lang w:val="en-US"/>
              </w:rPr>
            </w:pPr>
          </w:p>
        </w:tc>
        <w:tc>
          <w:tcPr>
            <w:tcW w:w="5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4FBDFFF" w14:textId="77777777" w:rsidR="006A5FDE" w:rsidRDefault="006A5FDE">
            <w:pPr>
              <w:spacing w:after="0"/>
              <w:jc w:val="both"/>
              <w:rPr>
                <w:lang w:val="en-US"/>
              </w:rPr>
            </w:pPr>
          </w:p>
        </w:tc>
        <w:tc>
          <w:tcPr>
            <w:tcW w:w="1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DCD1DAB" w14:textId="77777777" w:rsidR="006A5FDE" w:rsidRDefault="006A5FDE">
            <w:pPr>
              <w:spacing w:after="0"/>
              <w:jc w:val="both"/>
              <w:rPr>
                <w:lang w:val="en-US"/>
              </w:rPr>
            </w:pPr>
          </w:p>
        </w:tc>
        <w:tc>
          <w:tcPr>
            <w:tcW w:w="1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0F7EF68" w14:textId="77777777" w:rsidR="006A5FDE" w:rsidRDefault="006A5FDE">
            <w:pPr>
              <w:spacing w:after="0"/>
              <w:jc w:val="both"/>
              <w:rPr>
                <w:lang w:val="en-US"/>
              </w:rPr>
            </w:pPr>
          </w:p>
        </w:tc>
      </w:tr>
      <w:tr w:rsidR="006A5FDE" w14:paraId="7A5FB3D8" w14:textId="77777777" w:rsidTr="001B259F">
        <w:trPr>
          <w:trHeight w:val="347"/>
        </w:trPr>
        <w:tc>
          <w:tcPr>
            <w:tcW w:w="1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87E888E" w14:textId="77777777" w:rsidR="006A5FDE" w:rsidRDefault="006A5FDE">
            <w:pPr>
              <w:spacing w:after="0"/>
              <w:jc w:val="both"/>
              <w:rPr>
                <w:lang w:val="en-US"/>
              </w:rPr>
            </w:pPr>
          </w:p>
        </w:tc>
        <w:tc>
          <w:tcPr>
            <w:tcW w:w="5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949B57C" w14:textId="77777777" w:rsidR="006A5FDE" w:rsidRDefault="006A5FDE">
            <w:pPr>
              <w:spacing w:after="0"/>
              <w:jc w:val="both"/>
              <w:rPr>
                <w:lang w:val="en-US"/>
              </w:rPr>
            </w:pPr>
          </w:p>
        </w:tc>
        <w:tc>
          <w:tcPr>
            <w:tcW w:w="1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BC4204E" w14:textId="77777777" w:rsidR="006A5FDE" w:rsidRDefault="006A5FDE">
            <w:pPr>
              <w:spacing w:after="0"/>
              <w:jc w:val="both"/>
              <w:rPr>
                <w:lang w:val="en-US"/>
              </w:rPr>
            </w:pPr>
          </w:p>
        </w:tc>
        <w:tc>
          <w:tcPr>
            <w:tcW w:w="1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E180408" w14:textId="77777777" w:rsidR="006A5FDE" w:rsidRDefault="006A5FDE">
            <w:pPr>
              <w:spacing w:after="0"/>
              <w:jc w:val="both"/>
              <w:rPr>
                <w:lang w:val="en-US"/>
              </w:rPr>
            </w:pPr>
          </w:p>
        </w:tc>
      </w:tr>
      <w:tr w:rsidR="006A5FDE" w14:paraId="357FCF98" w14:textId="77777777" w:rsidTr="001B259F">
        <w:trPr>
          <w:trHeight w:val="347"/>
        </w:trPr>
        <w:tc>
          <w:tcPr>
            <w:tcW w:w="1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48358EF" w14:textId="77777777" w:rsidR="006A5FDE" w:rsidRDefault="006A5FDE">
            <w:pPr>
              <w:spacing w:after="0"/>
              <w:jc w:val="both"/>
              <w:rPr>
                <w:lang w:val="en-US"/>
              </w:rPr>
            </w:pPr>
          </w:p>
        </w:tc>
        <w:tc>
          <w:tcPr>
            <w:tcW w:w="5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DF79F37" w14:textId="77777777" w:rsidR="006A5FDE" w:rsidRDefault="006A5FDE">
            <w:pPr>
              <w:spacing w:after="0"/>
              <w:jc w:val="both"/>
              <w:rPr>
                <w:lang w:val="en-US"/>
              </w:rPr>
            </w:pPr>
          </w:p>
        </w:tc>
        <w:tc>
          <w:tcPr>
            <w:tcW w:w="1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FA3EB62" w14:textId="77777777" w:rsidR="006A5FDE" w:rsidRDefault="006A5FDE">
            <w:pPr>
              <w:spacing w:after="0"/>
              <w:jc w:val="both"/>
              <w:rPr>
                <w:lang w:val="en-US"/>
              </w:rPr>
            </w:pPr>
          </w:p>
        </w:tc>
        <w:tc>
          <w:tcPr>
            <w:tcW w:w="1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E89BF61" w14:textId="77777777" w:rsidR="006A5FDE" w:rsidRDefault="006A5FDE">
            <w:pPr>
              <w:spacing w:after="0"/>
              <w:jc w:val="both"/>
              <w:rPr>
                <w:lang w:val="en-US"/>
              </w:rPr>
            </w:pPr>
          </w:p>
        </w:tc>
      </w:tr>
      <w:tr w:rsidR="006A5FDE" w14:paraId="6B245DAC" w14:textId="77777777" w:rsidTr="001B259F">
        <w:trPr>
          <w:trHeight w:val="347"/>
        </w:trPr>
        <w:tc>
          <w:tcPr>
            <w:tcW w:w="1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34BCEAB" w14:textId="77777777" w:rsidR="006A5FDE" w:rsidRDefault="006A5FDE">
            <w:pPr>
              <w:spacing w:after="0"/>
              <w:jc w:val="both"/>
              <w:rPr>
                <w:lang w:val="en-US"/>
              </w:rPr>
            </w:pPr>
          </w:p>
        </w:tc>
        <w:tc>
          <w:tcPr>
            <w:tcW w:w="5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E441E70" w14:textId="77777777" w:rsidR="006A5FDE" w:rsidRDefault="006A5FDE">
            <w:pPr>
              <w:spacing w:after="0"/>
              <w:jc w:val="both"/>
              <w:rPr>
                <w:lang w:val="en-US"/>
              </w:rPr>
            </w:pPr>
          </w:p>
        </w:tc>
        <w:tc>
          <w:tcPr>
            <w:tcW w:w="1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6505786" w14:textId="77777777" w:rsidR="006A5FDE" w:rsidRDefault="006A5FDE">
            <w:pPr>
              <w:spacing w:after="0"/>
              <w:jc w:val="both"/>
              <w:rPr>
                <w:lang w:val="en-US"/>
              </w:rPr>
            </w:pPr>
          </w:p>
        </w:tc>
        <w:tc>
          <w:tcPr>
            <w:tcW w:w="1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33AA04C" w14:textId="77777777" w:rsidR="006A5FDE" w:rsidRDefault="006A5FDE">
            <w:pPr>
              <w:spacing w:after="0"/>
              <w:jc w:val="both"/>
              <w:rPr>
                <w:lang w:val="en-US"/>
              </w:rPr>
            </w:pPr>
          </w:p>
        </w:tc>
      </w:tr>
      <w:tr w:rsidR="006A5FDE" w14:paraId="44966F48" w14:textId="77777777" w:rsidTr="001B259F">
        <w:trPr>
          <w:trHeight w:val="347"/>
        </w:trPr>
        <w:tc>
          <w:tcPr>
            <w:tcW w:w="1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D2A760F" w14:textId="77777777" w:rsidR="006A5FDE" w:rsidRDefault="006A5FDE">
            <w:pPr>
              <w:spacing w:after="0"/>
              <w:jc w:val="both"/>
              <w:rPr>
                <w:lang w:val="en-US"/>
              </w:rPr>
            </w:pPr>
          </w:p>
        </w:tc>
        <w:tc>
          <w:tcPr>
            <w:tcW w:w="5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10010EB" w14:textId="77777777" w:rsidR="006A5FDE" w:rsidRDefault="006A5FDE">
            <w:pPr>
              <w:spacing w:after="0"/>
              <w:jc w:val="both"/>
              <w:rPr>
                <w:lang w:val="en-US"/>
              </w:rPr>
            </w:pPr>
          </w:p>
        </w:tc>
        <w:tc>
          <w:tcPr>
            <w:tcW w:w="1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A95B766" w14:textId="77777777" w:rsidR="006A5FDE" w:rsidRDefault="006A5FDE">
            <w:pPr>
              <w:spacing w:after="0"/>
              <w:jc w:val="both"/>
              <w:rPr>
                <w:lang w:val="en-US"/>
              </w:rPr>
            </w:pPr>
          </w:p>
        </w:tc>
        <w:tc>
          <w:tcPr>
            <w:tcW w:w="1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CA9AE73" w14:textId="77777777" w:rsidR="006A5FDE" w:rsidRDefault="006A5FDE">
            <w:pPr>
              <w:spacing w:after="0"/>
              <w:jc w:val="both"/>
              <w:rPr>
                <w:lang w:val="en-US"/>
              </w:rPr>
            </w:pPr>
          </w:p>
        </w:tc>
      </w:tr>
      <w:tr w:rsidR="006A5FDE" w14:paraId="64313D1C" w14:textId="77777777" w:rsidTr="001B259F">
        <w:trPr>
          <w:trHeight w:val="347"/>
        </w:trPr>
        <w:tc>
          <w:tcPr>
            <w:tcW w:w="1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A380096" w14:textId="77777777" w:rsidR="006A5FDE" w:rsidRDefault="006A5FDE">
            <w:pPr>
              <w:spacing w:after="0"/>
              <w:jc w:val="both"/>
              <w:rPr>
                <w:lang w:val="en-US"/>
              </w:rPr>
            </w:pPr>
          </w:p>
        </w:tc>
        <w:tc>
          <w:tcPr>
            <w:tcW w:w="5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17B55C2" w14:textId="77777777" w:rsidR="006A5FDE" w:rsidRDefault="006A5FDE">
            <w:pPr>
              <w:spacing w:after="0"/>
              <w:jc w:val="both"/>
              <w:rPr>
                <w:lang w:val="en-US"/>
              </w:rPr>
            </w:pPr>
          </w:p>
        </w:tc>
        <w:tc>
          <w:tcPr>
            <w:tcW w:w="1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395B017" w14:textId="77777777" w:rsidR="006A5FDE" w:rsidRDefault="006A5FDE">
            <w:pPr>
              <w:spacing w:after="0"/>
              <w:jc w:val="both"/>
              <w:rPr>
                <w:lang w:val="en-US"/>
              </w:rPr>
            </w:pPr>
          </w:p>
        </w:tc>
        <w:tc>
          <w:tcPr>
            <w:tcW w:w="1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091608A" w14:textId="77777777" w:rsidR="006A5FDE" w:rsidRDefault="006A5FDE">
            <w:pPr>
              <w:spacing w:after="0"/>
              <w:jc w:val="both"/>
              <w:rPr>
                <w:lang w:val="en-US"/>
              </w:rPr>
            </w:pPr>
          </w:p>
        </w:tc>
      </w:tr>
      <w:tr w:rsidR="006A5FDE" w14:paraId="7FD0830F" w14:textId="77777777" w:rsidTr="001B259F">
        <w:trPr>
          <w:trHeight w:val="347"/>
        </w:trPr>
        <w:tc>
          <w:tcPr>
            <w:tcW w:w="1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002571B" w14:textId="77777777" w:rsidR="006A5FDE" w:rsidRDefault="006A5FDE">
            <w:pPr>
              <w:spacing w:after="0"/>
              <w:jc w:val="both"/>
              <w:rPr>
                <w:lang w:val="en-US"/>
              </w:rPr>
            </w:pPr>
          </w:p>
        </w:tc>
        <w:tc>
          <w:tcPr>
            <w:tcW w:w="5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4D47663" w14:textId="77777777" w:rsidR="006A5FDE" w:rsidRDefault="006A5FDE">
            <w:pPr>
              <w:spacing w:after="0"/>
              <w:jc w:val="both"/>
              <w:rPr>
                <w:lang w:val="en-US"/>
              </w:rPr>
            </w:pPr>
          </w:p>
        </w:tc>
        <w:tc>
          <w:tcPr>
            <w:tcW w:w="1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5CE63B1" w14:textId="77777777" w:rsidR="006A5FDE" w:rsidRDefault="006A5FDE">
            <w:pPr>
              <w:spacing w:after="0"/>
              <w:jc w:val="both"/>
              <w:rPr>
                <w:lang w:val="en-US"/>
              </w:rPr>
            </w:pPr>
          </w:p>
        </w:tc>
        <w:tc>
          <w:tcPr>
            <w:tcW w:w="1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9D37231" w14:textId="77777777" w:rsidR="006A5FDE" w:rsidRDefault="006A5FDE">
            <w:pPr>
              <w:spacing w:after="0"/>
              <w:jc w:val="both"/>
              <w:rPr>
                <w:lang w:val="en-US"/>
              </w:rPr>
            </w:pPr>
          </w:p>
        </w:tc>
      </w:tr>
    </w:tbl>
    <w:p w14:paraId="7D40DEAA" w14:textId="77777777" w:rsidR="006A5FDE" w:rsidRDefault="006A5FDE" w:rsidP="006A5FDE">
      <w:pPr>
        <w:pStyle w:val="TOC1"/>
        <w:jc w:val="both"/>
      </w:pPr>
      <w:r>
        <w:t>Company Proprietary Information</w:t>
      </w:r>
    </w:p>
    <w:p w14:paraId="3CAB28A7" w14:textId="77777777" w:rsidR="006A5FDE" w:rsidRDefault="006A5FDE" w:rsidP="006A5FDE">
      <w:pPr>
        <w:spacing w:after="240"/>
        <w:jc w:val="both"/>
      </w:pPr>
      <w:r>
        <w:t>The electronic version of this procedure is the latest revision. It is the responsibility of the individual to ensure that any paper material is the current revision. The printed version of this manual is uncontrolled, except when provided with a document reference number and revision in the field below:</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2"/>
        <w:gridCol w:w="392"/>
        <w:gridCol w:w="1084"/>
        <w:gridCol w:w="1438"/>
        <w:gridCol w:w="358"/>
        <w:gridCol w:w="1965"/>
        <w:gridCol w:w="654"/>
        <w:gridCol w:w="1308"/>
      </w:tblGrid>
      <w:tr w:rsidR="006A5FDE" w14:paraId="376F3C23" w14:textId="77777777" w:rsidTr="001B259F">
        <w:trPr>
          <w:trHeight w:val="408"/>
        </w:trPr>
        <w:tc>
          <w:tcPr>
            <w:tcW w:w="1702" w:type="dxa"/>
            <w:vAlign w:val="center"/>
            <w:hideMark/>
          </w:tcPr>
          <w:p w14:paraId="0D43631E" w14:textId="77777777" w:rsidR="006A5FDE" w:rsidRDefault="006A5FDE">
            <w:pPr>
              <w:pStyle w:val="NoSpacing"/>
              <w:jc w:val="both"/>
              <w:rPr>
                <w:rFonts w:ascii="Segoe UI" w:hAnsi="Segoe UI" w:cs="Segoe UI"/>
                <w:color w:val="auto"/>
                <w:sz w:val="16"/>
                <w:szCs w:val="18"/>
              </w:rPr>
            </w:pPr>
            <w:r>
              <w:rPr>
                <w:rFonts w:ascii="Segoe UI" w:hAnsi="Segoe UI" w:cs="Segoe UI"/>
                <w:color w:val="auto"/>
                <w:sz w:val="16"/>
                <w:szCs w:val="18"/>
              </w:rPr>
              <w:t>Document Ref.</w:t>
            </w:r>
          </w:p>
        </w:tc>
        <w:tc>
          <w:tcPr>
            <w:tcW w:w="5237" w:type="dxa"/>
            <w:gridSpan w:val="5"/>
            <w:tcBorders>
              <w:top w:val="nil"/>
              <w:left w:val="nil"/>
              <w:bottom w:val="single" w:sz="4" w:space="0" w:color="BFBFBF" w:themeColor="background1" w:themeShade="BF"/>
              <w:right w:val="nil"/>
            </w:tcBorders>
            <w:vAlign w:val="center"/>
          </w:tcPr>
          <w:p w14:paraId="6D3E1E35" w14:textId="77777777" w:rsidR="006A5FDE" w:rsidRDefault="006A5FDE">
            <w:pPr>
              <w:pStyle w:val="NoSpacing"/>
              <w:jc w:val="both"/>
              <w:rPr>
                <w:color w:val="auto"/>
                <w:sz w:val="18"/>
                <w:szCs w:val="18"/>
              </w:rPr>
            </w:pPr>
          </w:p>
        </w:tc>
        <w:tc>
          <w:tcPr>
            <w:tcW w:w="654" w:type="dxa"/>
            <w:vAlign w:val="center"/>
            <w:hideMark/>
          </w:tcPr>
          <w:p w14:paraId="0319CCD2" w14:textId="77777777" w:rsidR="006A5FDE" w:rsidRDefault="006A5FDE">
            <w:pPr>
              <w:pStyle w:val="NoSpacing"/>
              <w:jc w:val="both"/>
              <w:rPr>
                <w:rFonts w:ascii="Segoe UI" w:hAnsi="Segoe UI" w:cs="Segoe UI"/>
                <w:color w:val="auto"/>
                <w:sz w:val="16"/>
                <w:szCs w:val="18"/>
              </w:rPr>
            </w:pPr>
            <w:r>
              <w:rPr>
                <w:rFonts w:ascii="Segoe UI" w:hAnsi="Segoe UI" w:cs="Segoe UI"/>
                <w:color w:val="auto"/>
                <w:sz w:val="16"/>
                <w:szCs w:val="18"/>
              </w:rPr>
              <w:t>Rev</w:t>
            </w:r>
          </w:p>
        </w:tc>
        <w:tc>
          <w:tcPr>
            <w:tcW w:w="1308" w:type="dxa"/>
            <w:tcBorders>
              <w:top w:val="nil"/>
              <w:left w:val="nil"/>
              <w:bottom w:val="single" w:sz="4" w:space="0" w:color="BFBFBF" w:themeColor="background1" w:themeShade="BF"/>
              <w:right w:val="nil"/>
            </w:tcBorders>
            <w:vAlign w:val="center"/>
          </w:tcPr>
          <w:p w14:paraId="0FD3479E" w14:textId="77777777" w:rsidR="006A5FDE" w:rsidRDefault="006A5FDE">
            <w:pPr>
              <w:pStyle w:val="NoSpacing"/>
              <w:jc w:val="both"/>
              <w:rPr>
                <w:color w:val="auto"/>
                <w:sz w:val="18"/>
                <w:szCs w:val="18"/>
              </w:rPr>
            </w:pPr>
          </w:p>
        </w:tc>
      </w:tr>
      <w:tr w:rsidR="006A5FDE" w14:paraId="5BF04EC9" w14:textId="77777777" w:rsidTr="001B259F">
        <w:trPr>
          <w:trHeight w:val="103"/>
        </w:trPr>
        <w:tc>
          <w:tcPr>
            <w:tcW w:w="1702" w:type="dxa"/>
            <w:vAlign w:val="center"/>
          </w:tcPr>
          <w:p w14:paraId="4162DCFD" w14:textId="77777777" w:rsidR="006A5FDE" w:rsidRDefault="006A5FDE">
            <w:pPr>
              <w:pStyle w:val="NoSpacing"/>
              <w:jc w:val="both"/>
              <w:rPr>
                <w:rFonts w:ascii="Segoe UI" w:hAnsi="Segoe UI" w:cs="Segoe UI"/>
                <w:color w:val="auto"/>
                <w:sz w:val="16"/>
                <w:szCs w:val="18"/>
              </w:rPr>
            </w:pPr>
          </w:p>
        </w:tc>
        <w:tc>
          <w:tcPr>
            <w:tcW w:w="392" w:type="dxa"/>
            <w:tcBorders>
              <w:top w:val="single" w:sz="4" w:space="0" w:color="BFBFBF" w:themeColor="background1" w:themeShade="BF"/>
              <w:left w:val="nil"/>
              <w:bottom w:val="single" w:sz="4" w:space="0" w:color="BFBFBF" w:themeColor="background1" w:themeShade="BF"/>
              <w:right w:val="nil"/>
            </w:tcBorders>
            <w:vAlign w:val="center"/>
          </w:tcPr>
          <w:p w14:paraId="08C49A53" w14:textId="77777777" w:rsidR="006A5FDE" w:rsidRDefault="006A5FDE">
            <w:pPr>
              <w:pStyle w:val="NoSpacing"/>
              <w:jc w:val="both"/>
              <w:rPr>
                <w:color w:val="auto"/>
                <w:sz w:val="18"/>
                <w:szCs w:val="18"/>
              </w:rPr>
            </w:pPr>
          </w:p>
        </w:tc>
        <w:tc>
          <w:tcPr>
            <w:tcW w:w="4844" w:type="dxa"/>
            <w:gridSpan w:val="4"/>
            <w:tcBorders>
              <w:top w:val="single" w:sz="4" w:space="0" w:color="BFBFBF" w:themeColor="background1" w:themeShade="BF"/>
              <w:left w:val="nil"/>
              <w:bottom w:val="nil"/>
              <w:right w:val="nil"/>
            </w:tcBorders>
            <w:vAlign w:val="center"/>
          </w:tcPr>
          <w:p w14:paraId="79610F68" w14:textId="77777777" w:rsidR="006A5FDE" w:rsidRDefault="006A5FDE">
            <w:pPr>
              <w:pStyle w:val="NoSpacing"/>
              <w:jc w:val="both"/>
              <w:rPr>
                <w:color w:val="auto"/>
                <w:sz w:val="18"/>
                <w:szCs w:val="18"/>
              </w:rPr>
            </w:pPr>
          </w:p>
        </w:tc>
        <w:tc>
          <w:tcPr>
            <w:tcW w:w="654" w:type="dxa"/>
            <w:vAlign w:val="center"/>
          </w:tcPr>
          <w:p w14:paraId="1B98FDE6" w14:textId="77777777" w:rsidR="006A5FDE" w:rsidRDefault="006A5FDE">
            <w:pPr>
              <w:pStyle w:val="NoSpacing"/>
              <w:jc w:val="both"/>
              <w:rPr>
                <w:rFonts w:ascii="Segoe UI" w:hAnsi="Segoe UI" w:cs="Segoe UI"/>
                <w:color w:val="auto"/>
                <w:sz w:val="16"/>
                <w:szCs w:val="18"/>
              </w:rPr>
            </w:pPr>
          </w:p>
        </w:tc>
        <w:tc>
          <w:tcPr>
            <w:tcW w:w="1308" w:type="dxa"/>
            <w:tcBorders>
              <w:top w:val="single" w:sz="4" w:space="0" w:color="BFBFBF" w:themeColor="background1" w:themeShade="BF"/>
              <w:left w:val="nil"/>
              <w:bottom w:val="nil"/>
              <w:right w:val="nil"/>
            </w:tcBorders>
            <w:vAlign w:val="center"/>
          </w:tcPr>
          <w:p w14:paraId="5751106F" w14:textId="77777777" w:rsidR="006A5FDE" w:rsidRDefault="006A5FDE">
            <w:pPr>
              <w:pStyle w:val="NoSpacing"/>
              <w:jc w:val="both"/>
              <w:rPr>
                <w:color w:val="auto"/>
                <w:sz w:val="18"/>
                <w:szCs w:val="18"/>
              </w:rPr>
            </w:pPr>
          </w:p>
        </w:tc>
      </w:tr>
      <w:tr w:rsidR="006A5FDE" w14:paraId="660769D2" w14:textId="77777777" w:rsidTr="001B259F">
        <w:trPr>
          <w:trHeight w:val="377"/>
        </w:trPr>
        <w:tc>
          <w:tcPr>
            <w:tcW w:w="1702" w:type="dxa"/>
            <w:tcBorders>
              <w:top w:val="nil"/>
              <w:left w:val="nil"/>
              <w:bottom w:val="nil"/>
              <w:right w:val="single" w:sz="4" w:space="0" w:color="BFBFBF" w:themeColor="background1" w:themeShade="BF"/>
            </w:tcBorders>
            <w:vAlign w:val="center"/>
            <w:hideMark/>
          </w:tcPr>
          <w:p w14:paraId="2D0B5468" w14:textId="77777777" w:rsidR="006A5FDE" w:rsidRDefault="006A5FDE">
            <w:pPr>
              <w:pStyle w:val="NoSpacing"/>
              <w:jc w:val="both"/>
              <w:rPr>
                <w:rFonts w:ascii="Segoe UI" w:hAnsi="Segoe UI" w:cs="Segoe UI"/>
                <w:color w:val="auto"/>
                <w:sz w:val="16"/>
                <w:szCs w:val="18"/>
              </w:rPr>
            </w:pPr>
            <w:r>
              <w:rPr>
                <w:rFonts w:ascii="Segoe UI" w:hAnsi="Segoe UI" w:cs="Segoe UI"/>
                <w:color w:val="auto"/>
                <w:sz w:val="16"/>
                <w:szCs w:val="18"/>
              </w:rPr>
              <w:t>Uncontrolled Copy</w:t>
            </w:r>
          </w:p>
        </w:tc>
        <w:tc>
          <w:tcPr>
            <w:tcW w:w="3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6B1D607" w14:textId="68A79E1A" w:rsidR="006A5FDE" w:rsidRDefault="006A5FDE">
            <w:pPr>
              <w:pStyle w:val="NoSpacing"/>
              <w:jc w:val="both"/>
              <w:rPr>
                <w:rFonts w:ascii="Wingdings 2" w:hAnsi="Wingdings 2"/>
                <w:color w:val="auto"/>
                <w:sz w:val="18"/>
                <w:szCs w:val="18"/>
              </w:rPr>
            </w:pPr>
          </w:p>
        </w:tc>
        <w:tc>
          <w:tcPr>
            <w:tcW w:w="1084" w:type="dxa"/>
            <w:tcBorders>
              <w:top w:val="nil"/>
              <w:left w:val="single" w:sz="4" w:space="0" w:color="BFBFBF" w:themeColor="background1" w:themeShade="BF"/>
              <w:bottom w:val="nil"/>
              <w:right w:val="nil"/>
            </w:tcBorders>
            <w:vAlign w:val="center"/>
          </w:tcPr>
          <w:p w14:paraId="0F6C7F85" w14:textId="77777777" w:rsidR="006A5FDE" w:rsidRDefault="006A5FDE">
            <w:pPr>
              <w:pStyle w:val="NoSpacing"/>
              <w:jc w:val="both"/>
              <w:rPr>
                <w:color w:val="auto"/>
                <w:sz w:val="18"/>
                <w:szCs w:val="18"/>
              </w:rPr>
            </w:pPr>
          </w:p>
        </w:tc>
        <w:tc>
          <w:tcPr>
            <w:tcW w:w="1438" w:type="dxa"/>
            <w:tcBorders>
              <w:top w:val="nil"/>
              <w:left w:val="nil"/>
              <w:bottom w:val="nil"/>
              <w:right w:val="single" w:sz="4" w:space="0" w:color="BFBFBF" w:themeColor="background1" w:themeShade="BF"/>
            </w:tcBorders>
            <w:vAlign w:val="center"/>
            <w:hideMark/>
          </w:tcPr>
          <w:p w14:paraId="5064D4E7" w14:textId="77777777" w:rsidR="006A5FDE" w:rsidRDefault="006A5FDE">
            <w:pPr>
              <w:pStyle w:val="NoSpacing"/>
              <w:jc w:val="both"/>
              <w:rPr>
                <w:rFonts w:ascii="Segoe UI" w:hAnsi="Segoe UI" w:cs="Segoe UI"/>
                <w:color w:val="auto"/>
                <w:sz w:val="18"/>
                <w:szCs w:val="18"/>
              </w:rPr>
            </w:pPr>
            <w:r>
              <w:rPr>
                <w:rFonts w:ascii="Segoe UI" w:hAnsi="Segoe UI" w:cs="Segoe UI"/>
                <w:color w:val="auto"/>
                <w:sz w:val="16"/>
                <w:szCs w:val="18"/>
              </w:rPr>
              <w:t>Controlled Copy</w:t>
            </w:r>
          </w:p>
        </w:tc>
        <w:tc>
          <w:tcPr>
            <w:tcW w:w="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748759D" w14:textId="793E5DF6" w:rsidR="006A5FDE" w:rsidRDefault="0067676F">
            <w:pPr>
              <w:pStyle w:val="NoSpacing"/>
              <w:jc w:val="both"/>
              <w:rPr>
                <w:color w:val="auto"/>
                <w:sz w:val="18"/>
                <w:szCs w:val="18"/>
              </w:rPr>
            </w:pPr>
            <w:r>
              <w:rPr>
                <w:rFonts w:ascii="Wingdings 2" w:hAnsi="Wingdings 2"/>
                <w:color w:val="auto"/>
                <w:sz w:val="18"/>
                <w:szCs w:val="18"/>
              </w:rPr>
              <w:t></w:t>
            </w:r>
          </w:p>
        </w:tc>
        <w:tc>
          <w:tcPr>
            <w:tcW w:w="1963" w:type="dxa"/>
            <w:tcBorders>
              <w:top w:val="nil"/>
              <w:left w:val="single" w:sz="4" w:space="0" w:color="BFBFBF" w:themeColor="background1" w:themeShade="BF"/>
              <w:bottom w:val="nil"/>
              <w:right w:val="nil"/>
            </w:tcBorders>
            <w:vAlign w:val="center"/>
          </w:tcPr>
          <w:p w14:paraId="41D4DDC1" w14:textId="77777777" w:rsidR="006A5FDE" w:rsidRDefault="006A5FDE">
            <w:pPr>
              <w:pStyle w:val="NoSpacing"/>
              <w:jc w:val="both"/>
              <w:rPr>
                <w:color w:val="auto"/>
                <w:sz w:val="18"/>
                <w:szCs w:val="18"/>
              </w:rPr>
            </w:pPr>
          </w:p>
        </w:tc>
        <w:tc>
          <w:tcPr>
            <w:tcW w:w="654" w:type="dxa"/>
            <w:vAlign w:val="center"/>
            <w:hideMark/>
          </w:tcPr>
          <w:p w14:paraId="1E4C072A" w14:textId="77777777" w:rsidR="006A5FDE" w:rsidRDefault="006A5FDE">
            <w:pPr>
              <w:pStyle w:val="NoSpacing"/>
              <w:jc w:val="both"/>
              <w:rPr>
                <w:rFonts w:ascii="Segoe UI" w:hAnsi="Segoe UI" w:cs="Segoe UI"/>
                <w:color w:val="auto"/>
                <w:sz w:val="16"/>
                <w:szCs w:val="18"/>
              </w:rPr>
            </w:pPr>
            <w:r>
              <w:rPr>
                <w:rFonts w:ascii="Segoe UI" w:hAnsi="Segoe UI" w:cs="Segoe UI"/>
                <w:color w:val="auto"/>
                <w:sz w:val="16"/>
                <w:szCs w:val="18"/>
              </w:rPr>
              <w:t>Date</w:t>
            </w:r>
          </w:p>
        </w:tc>
        <w:tc>
          <w:tcPr>
            <w:tcW w:w="1308" w:type="dxa"/>
            <w:tcBorders>
              <w:top w:val="nil"/>
              <w:left w:val="nil"/>
              <w:bottom w:val="single" w:sz="4" w:space="0" w:color="BFBFBF" w:themeColor="background1" w:themeShade="BF"/>
              <w:right w:val="nil"/>
            </w:tcBorders>
            <w:vAlign w:val="center"/>
          </w:tcPr>
          <w:p w14:paraId="65BB85C3" w14:textId="77777777" w:rsidR="006A5FDE" w:rsidRDefault="006A5FDE">
            <w:pPr>
              <w:pStyle w:val="NoSpacing"/>
              <w:jc w:val="both"/>
              <w:rPr>
                <w:color w:val="auto"/>
                <w:sz w:val="18"/>
                <w:szCs w:val="18"/>
              </w:rPr>
            </w:pPr>
          </w:p>
        </w:tc>
      </w:tr>
    </w:tbl>
    <w:bookmarkEnd w:id="0"/>
    <w:p w14:paraId="28082A46" w14:textId="1A22F8D3" w:rsidR="00C659CB" w:rsidRPr="00CE0CBA" w:rsidRDefault="00C659CB" w:rsidP="0009243E">
      <w:pPr>
        <w:jc w:val="center"/>
        <w:rPr>
          <w:b/>
          <w:bCs/>
        </w:rPr>
      </w:pPr>
      <w:r w:rsidRPr="00CE0CBA">
        <w:rPr>
          <w:b/>
          <w:bCs/>
        </w:rPr>
        <w:lastRenderedPageBreak/>
        <w:t>Crisis and Emergency Policy</w:t>
      </w:r>
    </w:p>
    <w:p w14:paraId="5C4A9AC4" w14:textId="77777777" w:rsidR="00C659CB" w:rsidRPr="00CE0CBA" w:rsidRDefault="00C659CB" w:rsidP="002E73D5">
      <w:pPr>
        <w:spacing w:line="240" w:lineRule="auto"/>
        <w:jc w:val="both"/>
        <w:rPr>
          <w:b/>
          <w:bCs/>
        </w:rPr>
      </w:pPr>
      <w:r w:rsidRPr="00CE0CBA">
        <w:rPr>
          <w:b/>
          <w:bCs/>
        </w:rPr>
        <w:t>1. Environmental Catastrophes (Flood, Earthquake, Heavy Snowfall, etc.)</w:t>
      </w:r>
    </w:p>
    <w:p w14:paraId="35203B27" w14:textId="77777777" w:rsidR="00C659CB" w:rsidRPr="00CE0CBA" w:rsidRDefault="00C659CB" w:rsidP="002E73D5">
      <w:pPr>
        <w:spacing w:line="240" w:lineRule="auto"/>
        <w:jc w:val="both"/>
        <w:rPr>
          <w:b/>
          <w:bCs/>
        </w:rPr>
      </w:pPr>
      <w:r w:rsidRPr="00CE0CBA">
        <w:rPr>
          <w:b/>
          <w:bCs/>
        </w:rPr>
        <w:t>1.1 Risk Mitigation and Preparedness</w:t>
      </w:r>
    </w:p>
    <w:p w14:paraId="308A1ADD" w14:textId="040BD72A" w:rsidR="00C659CB" w:rsidRPr="00CE0CBA" w:rsidRDefault="00C659CB" w:rsidP="002E73D5">
      <w:pPr>
        <w:jc w:val="both"/>
      </w:pPr>
      <w:r w:rsidRPr="00CE0CBA">
        <w:rPr>
          <w:b/>
          <w:bCs/>
        </w:rPr>
        <w:t>Insurance Coverage</w:t>
      </w:r>
      <w:r w:rsidRPr="00CE0CBA">
        <w:t>: The company holds insurance to compensate for any damage to equipment and property caused by environmental catastrophes.</w:t>
      </w:r>
      <w:r w:rsidR="00C946B5" w:rsidRPr="00CE0CBA">
        <w:t xml:space="preserve"> </w:t>
      </w:r>
    </w:p>
    <w:p w14:paraId="3D356601" w14:textId="77777777" w:rsidR="00C659CB" w:rsidRPr="00CE0CBA" w:rsidRDefault="00C659CB" w:rsidP="002E73D5">
      <w:pPr>
        <w:numPr>
          <w:ilvl w:val="0"/>
          <w:numId w:val="1"/>
        </w:numPr>
        <w:spacing w:line="240" w:lineRule="auto"/>
        <w:jc w:val="both"/>
      </w:pPr>
      <w:r w:rsidRPr="00CE0CBA">
        <w:rPr>
          <w:b/>
          <w:bCs/>
        </w:rPr>
        <w:t>Cloud Data Backup</w:t>
      </w:r>
      <w:r w:rsidRPr="00CE0CBA">
        <w:t xml:space="preserve">: All critical company data is securely backed up on </w:t>
      </w:r>
      <w:r w:rsidRPr="00CE0CBA">
        <w:rPr>
          <w:b/>
          <w:bCs/>
        </w:rPr>
        <w:t>OneDrive</w:t>
      </w:r>
      <w:r w:rsidRPr="00CE0CBA">
        <w:t xml:space="preserve"> to prevent loss due to physical damage.</w:t>
      </w:r>
    </w:p>
    <w:p w14:paraId="44970669" w14:textId="77777777" w:rsidR="00C659CB" w:rsidRPr="00CE0CBA" w:rsidRDefault="00C659CB" w:rsidP="002E73D5">
      <w:pPr>
        <w:numPr>
          <w:ilvl w:val="0"/>
          <w:numId w:val="1"/>
        </w:numPr>
        <w:spacing w:line="240" w:lineRule="auto"/>
        <w:jc w:val="both"/>
      </w:pPr>
      <w:r w:rsidRPr="00CE0CBA">
        <w:rPr>
          <w:b/>
          <w:bCs/>
        </w:rPr>
        <w:t>Emergency Response Plan</w:t>
      </w:r>
      <w:r w:rsidRPr="00CE0CBA">
        <w:t>:</w:t>
      </w:r>
    </w:p>
    <w:p w14:paraId="70DDC002" w14:textId="77777777" w:rsidR="00C659CB" w:rsidRPr="00CE0CBA" w:rsidRDefault="00C659CB" w:rsidP="002E73D5">
      <w:pPr>
        <w:numPr>
          <w:ilvl w:val="1"/>
          <w:numId w:val="1"/>
        </w:numPr>
        <w:spacing w:line="240" w:lineRule="auto"/>
        <w:jc w:val="both"/>
      </w:pPr>
      <w:r w:rsidRPr="00CE0CBA">
        <w:t xml:space="preserve">Ensure </w:t>
      </w:r>
      <w:r w:rsidRPr="00CE0CBA">
        <w:rPr>
          <w:highlight w:val="cyan"/>
        </w:rPr>
        <w:t>emergency contact lists</w:t>
      </w:r>
      <w:r w:rsidRPr="00CE0CBA">
        <w:t xml:space="preserve"> are updated and accessible.</w:t>
      </w:r>
    </w:p>
    <w:p w14:paraId="061C1314" w14:textId="0539068D" w:rsidR="00C659CB" w:rsidRPr="00CE0CBA" w:rsidRDefault="00C659CB" w:rsidP="002E73D5">
      <w:pPr>
        <w:numPr>
          <w:ilvl w:val="1"/>
          <w:numId w:val="1"/>
        </w:numPr>
        <w:spacing w:line="240" w:lineRule="auto"/>
        <w:jc w:val="both"/>
      </w:pPr>
      <w:r w:rsidRPr="00CE0CBA">
        <w:t xml:space="preserve">Maintain an emergency </w:t>
      </w:r>
      <w:r w:rsidR="000D6EAD" w:rsidRPr="00CE0CBA">
        <w:t>kit</w:t>
      </w:r>
      <w:r w:rsidRPr="00CE0CBA">
        <w:t xml:space="preserve"> including first aid, flashlights.</w:t>
      </w:r>
    </w:p>
    <w:p w14:paraId="758934A5" w14:textId="77777777" w:rsidR="00C659CB" w:rsidRPr="00CE0CBA" w:rsidRDefault="00C659CB" w:rsidP="002E73D5">
      <w:pPr>
        <w:spacing w:line="240" w:lineRule="auto"/>
        <w:jc w:val="both"/>
        <w:rPr>
          <w:b/>
          <w:bCs/>
        </w:rPr>
      </w:pPr>
      <w:r w:rsidRPr="00CE0CBA">
        <w:rPr>
          <w:b/>
          <w:bCs/>
        </w:rPr>
        <w:t>1.2 Response Measures</w:t>
      </w:r>
    </w:p>
    <w:p w14:paraId="2BB586C5" w14:textId="77777777" w:rsidR="00C659CB" w:rsidRPr="00CE0CBA" w:rsidRDefault="00C659CB" w:rsidP="002E73D5">
      <w:pPr>
        <w:numPr>
          <w:ilvl w:val="0"/>
          <w:numId w:val="2"/>
        </w:numPr>
        <w:spacing w:line="240" w:lineRule="auto"/>
        <w:jc w:val="both"/>
      </w:pPr>
      <w:r w:rsidRPr="00CE0CBA">
        <w:rPr>
          <w:b/>
          <w:bCs/>
        </w:rPr>
        <w:t>Flooding</w:t>
      </w:r>
      <w:r w:rsidRPr="00CE0CBA">
        <w:t>:</w:t>
      </w:r>
    </w:p>
    <w:p w14:paraId="6DFFEB89" w14:textId="77777777" w:rsidR="00C659CB" w:rsidRPr="00CE0CBA" w:rsidRDefault="00C659CB" w:rsidP="002E73D5">
      <w:pPr>
        <w:numPr>
          <w:ilvl w:val="1"/>
          <w:numId w:val="2"/>
        </w:numPr>
        <w:spacing w:line="240" w:lineRule="auto"/>
        <w:jc w:val="both"/>
      </w:pPr>
      <w:r w:rsidRPr="00CE0CBA">
        <w:t>Secure electronic equipment and sensitive documents at an elevated location.</w:t>
      </w:r>
    </w:p>
    <w:p w14:paraId="0DFBDAE9" w14:textId="77777777" w:rsidR="00C659CB" w:rsidRPr="00CE0CBA" w:rsidRDefault="00C659CB" w:rsidP="002E73D5">
      <w:pPr>
        <w:numPr>
          <w:ilvl w:val="1"/>
          <w:numId w:val="2"/>
        </w:numPr>
        <w:spacing w:line="240" w:lineRule="auto"/>
        <w:jc w:val="both"/>
      </w:pPr>
      <w:r w:rsidRPr="00CE0CBA">
        <w:t>Follow evacuation procedures and move to higher ground if necessary.</w:t>
      </w:r>
    </w:p>
    <w:p w14:paraId="1209E51A" w14:textId="77777777" w:rsidR="00C659CB" w:rsidRPr="00CE0CBA" w:rsidRDefault="00C659CB" w:rsidP="002E73D5">
      <w:pPr>
        <w:numPr>
          <w:ilvl w:val="0"/>
          <w:numId w:val="2"/>
        </w:numPr>
        <w:spacing w:line="240" w:lineRule="auto"/>
        <w:jc w:val="both"/>
      </w:pPr>
      <w:r w:rsidRPr="00CE0CBA">
        <w:rPr>
          <w:b/>
          <w:bCs/>
        </w:rPr>
        <w:t>Earthquake</w:t>
      </w:r>
      <w:r w:rsidRPr="00CE0CBA">
        <w:t>:</w:t>
      </w:r>
    </w:p>
    <w:p w14:paraId="20A6E2B9" w14:textId="77777777" w:rsidR="00C659CB" w:rsidRPr="00CE0CBA" w:rsidRDefault="00C659CB" w:rsidP="002E73D5">
      <w:pPr>
        <w:numPr>
          <w:ilvl w:val="1"/>
          <w:numId w:val="2"/>
        </w:numPr>
        <w:spacing w:line="240" w:lineRule="auto"/>
        <w:jc w:val="both"/>
      </w:pPr>
      <w:r w:rsidRPr="00CE0CBA">
        <w:t>Follow “Drop, Cover, and Hold On” procedures.</w:t>
      </w:r>
    </w:p>
    <w:p w14:paraId="3D54A99A" w14:textId="77777777" w:rsidR="00C659CB" w:rsidRPr="00CE0CBA" w:rsidRDefault="00C659CB" w:rsidP="002E73D5">
      <w:pPr>
        <w:numPr>
          <w:ilvl w:val="1"/>
          <w:numId w:val="2"/>
        </w:numPr>
        <w:spacing w:line="240" w:lineRule="auto"/>
        <w:jc w:val="both"/>
      </w:pPr>
      <w:r w:rsidRPr="00CE0CBA">
        <w:t>Conduct structural assessments after any seismic activity before resuming operations.</w:t>
      </w:r>
    </w:p>
    <w:p w14:paraId="73FB3CFA" w14:textId="77777777" w:rsidR="00C659CB" w:rsidRPr="00CE0CBA" w:rsidRDefault="00C659CB" w:rsidP="002E73D5">
      <w:pPr>
        <w:numPr>
          <w:ilvl w:val="0"/>
          <w:numId w:val="2"/>
        </w:numPr>
        <w:spacing w:line="240" w:lineRule="auto"/>
        <w:jc w:val="both"/>
      </w:pPr>
      <w:r w:rsidRPr="00CE0CBA">
        <w:rPr>
          <w:b/>
          <w:bCs/>
        </w:rPr>
        <w:t>Heavy Snowfall</w:t>
      </w:r>
      <w:r w:rsidRPr="00CE0CBA">
        <w:t>:</w:t>
      </w:r>
    </w:p>
    <w:p w14:paraId="085F4054" w14:textId="77777777" w:rsidR="00C659CB" w:rsidRPr="00CE0CBA" w:rsidRDefault="00C659CB" w:rsidP="002E73D5">
      <w:pPr>
        <w:numPr>
          <w:ilvl w:val="1"/>
          <w:numId w:val="2"/>
        </w:numPr>
        <w:spacing w:line="240" w:lineRule="auto"/>
        <w:jc w:val="both"/>
      </w:pPr>
      <w:r w:rsidRPr="00CE0CBA">
        <w:t>Implement remote working if transportation is hindered.</w:t>
      </w:r>
    </w:p>
    <w:p w14:paraId="49339395" w14:textId="77777777" w:rsidR="00C659CB" w:rsidRPr="00CE0CBA" w:rsidRDefault="00C659CB" w:rsidP="002E73D5">
      <w:pPr>
        <w:numPr>
          <w:ilvl w:val="1"/>
          <w:numId w:val="2"/>
        </w:numPr>
        <w:spacing w:line="240" w:lineRule="auto"/>
        <w:jc w:val="both"/>
      </w:pPr>
      <w:r w:rsidRPr="00CE0CBA">
        <w:t>Ensure the building is structurally sound and heating systems are functional.</w:t>
      </w:r>
    </w:p>
    <w:p w14:paraId="5AB19664" w14:textId="77777777" w:rsidR="00C659CB" w:rsidRPr="00CE0CBA" w:rsidRDefault="00C659CB" w:rsidP="002E73D5">
      <w:pPr>
        <w:spacing w:line="240" w:lineRule="auto"/>
        <w:jc w:val="both"/>
        <w:rPr>
          <w:b/>
          <w:bCs/>
        </w:rPr>
      </w:pPr>
      <w:r w:rsidRPr="00CE0CBA">
        <w:rPr>
          <w:b/>
          <w:bCs/>
        </w:rPr>
        <w:t>1.3 Post-Disaster Recovery</w:t>
      </w:r>
    </w:p>
    <w:p w14:paraId="69E35D4E" w14:textId="77777777" w:rsidR="00C659CB" w:rsidRPr="00CE0CBA" w:rsidRDefault="00C659CB" w:rsidP="002E73D5">
      <w:pPr>
        <w:numPr>
          <w:ilvl w:val="0"/>
          <w:numId w:val="3"/>
        </w:numPr>
        <w:spacing w:line="240" w:lineRule="auto"/>
        <w:jc w:val="both"/>
      </w:pPr>
      <w:r w:rsidRPr="00CE0CBA">
        <w:t>Conduct an impact assessment to evaluate damage to company assets.</w:t>
      </w:r>
    </w:p>
    <w:p w14:paraId="527F7784" w14:textId="77777777" w:rsidR="00C659CB" w:rsidRPr="00CE0CBA" w:rsidRDefault="00C659CB" w:rsidP="002E73D5">
      <w:pPr>
        <w:numPr>
          <w:ilvl w:val="0"/>
          <w:numId w:val="3"/>
        </w:numPr>
        <w:spacing w:line="240" w:lineRule="auto"/>
        <w:jc w:val="both"/>
      </w:pPr>
      <w:r w:rsidRPr="00CE0CBA">
        <w:t xml:space="preserve">Restore business operations based on priority tasks outlined in the </w:t>
      </w:r>
      <w:r w:rsidRPr="00CE0CBA">
        <w:rPr>
          <w:highlight w:val="cyan"/>
        </w:rPr>
        <w:t>Business Continuity Plan</w:t>
      </w:r>
      <w:r w:rsidRPr="00CE0CBA">
        <w:t>.</w:t>
      </w:r>
    </w:p>
    <w:p w14:paraId="7F18D84B" w14:textId="7C660BD0" w:rsidR="00C659CB" w:rsidRPr="00CE0CBA" w:rsidRDefault="001B665E" w:rsidP="002E73D5">
      <w:pPr>
        <w:numPr>
          <w:ilvl w:val="0"/>
          <w:numId w:val="3"/>
        </w:numPr>
        <w:spacing w:line="240" w:lineRule="auto"/>
        <w:jc w:val="both"/>
      </w:pPr>
      <w:r w:rsidRPr="00CE0CBA">
        <w:t>Consult</w:t>
      </w:r>
      <w:r w:rsidR="00C659CB" w:rsidRPr="00CE0CBA">
        <w:t xml:space="preserve"> with emergency responders and insurance providers for recovery support.</w:t>
      </w:r>
    </w:p>
    <w:p w14:paraId="444096A7" w14:textId="77777777" w:rsidR="002E73D5" w:rsidRDefault="002E73D5" w:rsidP="002E73D5">
      <w:pPr>
        <w:jc w:val="both"/>
        <w:rPr>
          <w:b/>
          <w:bCs/>
        </w:rPr>
      </w:pPr>
      <w:r>
        <w:rPr>
          <w:b/>
          <w:bCs/>
        </w:rPr>
        <w:br w:type="page"/>
      </w:r>
    </w:p>
    <w:p w14:paraId="554FF5F8" w14:textId="26FC9DDB" w:rsidR="00C659CB" w:rsidRPr="00CE0CBA" w:rsidRDefault="00C659CB" w:rsidP="002E73D5">
      <w:pPr>
        <w:spacing w:line="240" w:lineRule="auto"/>
        <w:jc w:val="both"/>
        <w:rPr>
          <w:b/>
          <w:bCs/>
        </w:rPr>
      </w:pPr>
      <w:r w:rsidRPr="00CE0CBA">
        <w:rPr>
          <w:b/>
          <w:bCs/>
        </w:rPr>
        <w:lastRenderedPageBreak/>
        <w:t>2. Unsteady Global Politics (War)</w:t>
      </w:r>
    </w:p>
    <w:p w14:paraId="779C1736" w14:textId="77777777" w:rsidR="00C659CB" w:rsidRPr="00CE0CBA" w:rsidRDefault="00C659CB" w:rsidP="002E73D5">
      <w:pPr>
        <w:spacing w:line="240" w:lineRule="auto"/>
        <w:jc w:val="both"/>
        <w:rPr>
          <w:b/>
          <w:bCs/>
        </w:rPr>
      </w:pPr>
      <w:r w:rsidRPr="00CE0CBA">
        <w:rPr>
          <w:b/>
          <w:bCs/>
        </w:rPr>
        <w:t>2.1 Risk Mitigation and Preparedness</w:t>
      </w:r>
    </w:p>
    <w:p w14:paraId="3A3376F1" w14:textId="77777777" w:rsidR="00C659CB" w:rsidRPr="00CE0CBA" w:rsidRDefault="00C659CB" w:rsidP="002E73D5">
      <w:pPr>
        <w:numPr>
          <w:ilvl w:val="0"/>
          <w:numId w:val="4"/>
        </w:numPr>
        <w:spacing w:line="240" w:lineRule="auto"/>
        <w:jc w:val="both"/>
      </w:pPr>
      <w:r w:rsidRPr="00CE0CBA">
        <w:rPr>
          <w:b/>
          <w:bCs/>
        </w:rPr>
        <w:t>Supplier Evaluation</w:t>
      </w:r>
      <w:r w:rsidRPr="00CE0CBA">
        <w:t xml:space="preserve">: Implement a </w:t>
      </w:r>
      <w:r w:rsidRPr="00CE0CBA">
        <w:rPr>
          <w:b/>
          <w:bCs/>
        </w:rPr>
        <w:t>Supplier Evaluation Form</w:t>
      </w:r>
      <w:r w:rsidRPr="00CE0CBA">
        <w:t xml:space="preserve"> to assess alternative suppliers for continuity during a war situation.</w:t>
      </w:r>
    </w:p>
    <w:p w14:paraId="6366CCFF" w14:textId="6915C2AC" w:rsidR="00C659CB" w:rsidRPr="00CE0CBA" w:rsidRDefault="00C659CB" w:rsidP="002E73D5">
      <w:pPr>
        <w:numPr>
          <w:ilvl w:val="0"/>
          <w:numId w:val="4"/>
        </w:numPr>
        <w:spacing w:line="240" w:lineRule="auto"/>
        <w:jc w:val="both"/>
      </w:pPr>
      <w:r w:rsidRPr="00CE0CBA">
        <w:rPr>
          <w:b/>
          <w:bCs/>
        </w:rPr>
        <w:t>Crisis Planning</w:t>
      </w:r>
      <w:r w:rsidRPr="00CE0CBA">
        <w:t xml:space="preserve">: </w:t>
      </w:r>
      <w:r w:rsidR="00163466">
        <w:t>Top</w:t>
      </w:r>
      <w:r w:rsidRPr="00CE0CBA">
        <w:t xml:space="preserve"> management will develop contingency plans to address potential operational disruptions.</w:t>
      </w:r>
    </w:p>
    <w:p w14:paraId="79D33D7B" w14:textId="2E43BD24" w:rsidR="00C659CB" w:rsidRPr="00CE0CBA" w:rsidRDefault="00C659CB" w:rsidP="002E73D5">
      <w:pPr>
        <w:numPr>
          <w:ilvl w:val="0"/>
          <w:numId w:val="4"/>
        </w:numPr>
        <w:spacing w:line="240" w:lineRule="auto"/>
        <w:jc w:val="both"/>
      </w:pPr>
      <w:r w:rsidRPr="00CE0CBA">
        <w:rPr>
          <w:b/>
          <w:bCs/>
        </w:rPr>
        <w:t>Employee Safety Measures</w:t>
      </w:r>
      <w:r w:rsidRPr="00CE0CBA">
        <w:t xml:space="preserve">: If the UK is directly affected by war, </w:t>
      </w:r>
      <w:r w:rsidR="002E73D5">
        <w:t>Top</w:t>
      </w:r>
      <w:r w:rsidRPr="00CE0CBA">
        <w:t xml:space="preserve"> management will assess security risks and take appropriate actions, including relocation or remote working.</w:t>
      </w:r>
    </w:p>
    <w:p w14:paraId="37EA98A3" w14:textId="7A188962" w:rsidR="00C659CB" w:rsidRPr="00CE0CBA" w:rsidRDefault="00C659CB" w:rsidP="002E73D5">
      <w:pPr>
        <w:spacing w:line="240" w:lineRule="auto"/>
        <w:jc w:val="both"/>
        <w:rPr>
          <w:b/>
          <w:bCs/>
        </w:rPr>
      </w:pPr>
      <w:r w:rsidRPr="00CE0CBA">
        <w:rPr>
          <w:b/>
          <w:bCs/>
        </w:rPr>
        <w:t>2.2 Response Measures</w:t>
      </w:r>
    </w:p>
    <w:p w14:paraId="3DEE6FEB" w14:textId="77777777" w:rsidR="00C659CB" w:rsidRPr="00CE0CBA" w:rsidRDefault="00C659CB" w:rsidP="002E73D5">
      <w:pPr>
        <w:numPr>
          <w:ilvl w:val="0"/>
          <w:numId w:val="5"/>
        </w:numPr>
        <w:spacing w:line="240" w:lineRule="auto"/>
        <w:jc w:val="both"/>
      </w:pPr>
      <w:r w:rsidRPr="00CE0CBA">
        <w:rPr>
          <w:b/>
          <w:bCs/>
        </w:rPr>
        <w:t>Supply Chain Disruptions</w:t>
      </w:r>
      <w:r w:rsidRPr="00CE0CBA">
        <w:t>:</w:t>
      </w:r>
    </w:p>
    <w:p w14:paraId="7F4867E1" w14:textId="42347924" w:rsidR="00C659CB" w:rsidRPr="00CE0CBA" w:rsidRDefault="00C659CB" w:rsidP="002E73D5">
      <w:pPr>
        <w:numPr>
          <w:ilvl w:val="1"/>
          <w:numId w:val="5"/>
        </w:numPr>
        <w:spacing w:line="240" w:lineRule="auto"/>
        <w:jc w:val="both"/>
      </w:pPr>
      <w:r w:rsidRPr="00CE0CBA">
        <w:t>Identify alternative suppliers from politically stable regions</w:t>
      </w:r>
      <w:r w:rsidR="00E84010" w:rsidRPr="00CE0CBA">
        <w:t xml:space="preserve"> using supplier evaluation form</w:t>
      </w:r>
      <w:r w:rsidRPr="00CE0CBA">
        <w:t>.</w:t>
      </w:r>
    </w:p>
    <w:p w14:paraId="17C616F4" w14:textId="77777777" w:rsidR="00C659CB" w:rsidRPr="00CE0CBA" w:rsidRDefault="00C659CB" w:rsidP="002E73D5">
      <w:pPr>
        <w:numPr>
          <w:ilvl w:val="1"/>
          <w:numId w:val="5"/>
        </w:numPr>
        <w:spacing w:line="240" w:lineRule="auto"/>
        <w:jc w:val="both"/>
      </w:pPr>
      <w:r w:rsidRPr="00CE0CBA">
        <w:t>Increase inventory stock of critical materials where feasible.</w:t>
      </w:r>
    </w:p>
    <w:p w14:paraId="256B5DFE" w14:textId="77777777" w:rsidR="00C659CB" w:rsidRPr="00CE0CBA" w:rsidRDefault="00C659CB" w:rsidP="002E73D5">
      <w:pPr>
        <w:numPr>
          <w:ilvl w:val="0"/>
          <w:numId w:val="5"/>
        </w:numPr>
        <w:spacing w:line="240" w:lineRule="auto"/>
        <w:jc w:val="both"/>
      </w:pPr>
      <w:r w:rsidRPr="00CE0CBA">
        <w:rPr>
          <w:b/>
          <w:bCs/>
        </w:rPr>
        <w:t>Operational Continuity</w:t>
      </w:r>
      <w:r w:rsidRPr="00CE0CBA">
        <w:t>:</w:t>
      </w:r>
    </w:p>
    <w:p w14:paraId="23019A77" w14:textId="0E0E24AB" w:rsidR="00C659CB" w:rsidRPr="00CE0CBA" w:rsidRDefault="00C659CB" w:rsidP="002E73D5">
      <w:pPr>
        <w:numPr>
          <w:ilvl w:val="1"/>
          <w:numId w:val="5"/>
        </w:numPr>
        <w:spacing w:line="240" w:lineRule="auto"/>
        <w:jc w:val="both"/>
      </w:pPr>
      <w:r w:rsidRPr="00CE0CBA">
        <w:t xml:space="preserve">Implement </w:t>
      </w:r>
      <w:r w:rsidR="00E84010" w:rsidRPr="00CE0CBA">
        <w:t xml:space="preserve">work </w:t>
      </w:r>
      <w:r w:rsidR="00904BFE" w:rsidRPr="00CE0CBA">
        <w:t>flexibility</w:t>
      </w:r>
      <w:r w:rsidRPr="00CE0CBA">
        <w:t>, including remote working options.</w:t>
      </w:r>
    </w:p>
    <w:p w14:paraId="0F8F7BC2" w14:textId="77777777" w:rsidR="00C659CB" w:rsidRPr="00CE0CBA" w:rsidRDefault="00C659CB" w:rsidP="002E73D5">
      <w:pPr>
        <w:numPr>
          <w:ilvl w:val="1"/>
          <w:numId w:val="5"/>
        </w:numPr>
        <w:spacing w:line="240" w:lineRule="auto"/>
        <w:jc w:val="both"/>
      </w:pPr>
      <w:r w:rsidRPr="00CE0CBA">
        <w:t>Enhance Technology Policy to safeguard company data against potential cyber threats.</w:t>
      </w:r>
    </w:p>
    <w:p w14:paraId="0E8B819E" w14:textId="77777777" w:rsidR="00C659CB" w:rsidRPr="00CE0CBA" w:rsidRDefault="00C659CB" w:rsidP="002E73D5">
      <w:pPr>
        <w:spacing w:line="240" w:lineRule="auto"/>
        <w:jc w:val="both"/>
        <w:rPr>
          <w:b/>
          <w:bCs/>
        </w:rPr>
      </w:pPr>
      <w:r w:rsidRPr="00CE0CBA">
        <w:rPr>
          <w:b/>
          <w:bCs/>
        </w:rPr>
        <w:t>2.3 Post-Conflict Recovery</w:t>
      </w:r>
    </w:p>
    <w:p w14:paraId="18F85076" w14:textId="41AA14DF" w:rsidR="00C659CB" w:rsidRPr="00CE0CBA" w:rsidRDefault="00C659CB" w:rsidP="002E73D5">
      <w:pPr>
        <w:numPr>
          <w:ilvl w:val="0"/>
          <w:numId w:val="6"/>
        </w:numPr>
        <w:spacing w:line="240" w:lineRule="auto"/>
        <w:jc w:val="both"/>
      </w:pPr>
      <w:r w:rsidRPr="00CE0CBA">
        <w:t xml:space="preserve">Assess operational and </w:t>
      </w:r>
      <w:r w:rsidR="001B665E" w:rsidRPr="00CE0CBA">
        <w:t>budgetary impact</w:t>
      </w:r>
      <w:r w:rsidRPr="00CE0CBA">
        <w:t>.</w:t>
      </w:r>
    </w:p>
    <w:p w14:paraId="09336BFA" w14:textId="77777777" w:rsidR="00C659CB" w:rsidRPr="00CE0CBA" w:rsidRDefault="00C659CB" w:rsidP="002E73D5">
      <w:pPr>
        <w:numPr>
          <w:ilvl w:val="0"/>
          <w:numId w:val="6"/>
        </w:numPr>
        <w:spacing w:line="240" w:lineRule="auto"/>
        <w:jc w:val="both"/>
      </w:pPr>
      <w:r w:rsidRPr="00CE0CBA">
        <w:t>Reevaluate business strategies to align with the new geopolitical landscape.</w:t>
      </w:r>
    </w:p>
    <w:p w14:paraId="14C216A3" w14:textId="77777777" w:rsidR="00C659CB" w:rsidRPr="00CE0CBA" w:rsidRDefault="00C659CB" w:rsidP="002E73D5">
      <w:pPr>
        <w:numPr>
          <w:ilvl w:val="0"/>
          <w:numId w:val="6"/>
        </w:numPr>
        <w:spacing w:line="240" w:lineRule="auto"/>
        <w:jc w:val="both"/>
      </w:pPr>
      <w:r w:rsidRPr="00CE0CBA">
        <w:t>Strengthen supplier networks and diversify sourcing strategies to enhance future resilience.</w:t>
      </w:r>
    </w:p>
    <w:p w14:paraId="7BB49615" w14:textId="77777777" w:rsidR="00C659CB" w:rsidRPr="00CE0CBA" w:rsidRDefault="00C659CB" w:rsidP="002E73D5">
      <w:pPr>
        <w:spacing w:line="240" w:lineRule="auto"/>
        <w:jc w:val="both"/>
        <w:rPr>
          <w:b/>
          <w:bCs/>
        </w:rPr>
      </w:pPr>
      <w:r w:rsidRPr="00CE0CBA">
        <w:rPr>
          <w:b/>
          <w:bCs/>
        </w:rPr>
        <w:t>3. Pandemic Issues</w:t>
      </w:r>
    </w:p>
    <w:p w14:paraId="59EE8E40" w14:textId="77777777" w:rsidR="00C659CB" w:rsidRPr="00CE0CBA" w:rsidRDefault="00C659CB" w:rsidP="002E73D5">
      <w:pPr>
        <w:spacing w:line="240" w:lineRule="auto"/>
        <w:jc w:val="both"/>
        <w:rPr>
          <w:b/>
          <w:bCs/>
        </w:rPr>
      </w:pPr>
      <w:r w:rsidRPr="00CE0CBA">
        <w:rPr>
          <w:b/>
          <w:bCs/>
        </w:rPr>
        <w:t>3.1 Risk Mitigation and Preparedness</w:t>
      </w:r>
    </w:p>
    <w:p w14:paraId="2FD4195F" w14:textId="77777777" w:rsidR="00C659CB" w:rsidRPr="00CE0CBA" w:rsidRDefault="00C659CB" w:rsidP="002E73D5">
      <w:pPr>
        <w:numPr>
          <w:ilvl w:val="0"/>
          <w:numId w:val="7"/>
        </w:numPr>
        <w:spacing w:line="240" w:lineRule="auto"/>
        <w:jc w:val="both"/>
      </w:pPr>
      <w:r w:rsidRPr="00CE0CBA">
        <w:rPr>
          <w:b/>
          <w:bCs/>
        </w:rPr>
        <w:t>Remote Working Capability</w:t>
      </w:r>
      <w:r w:rsidRPr="00CE0CBA">
        <w:t>: The company has implemented technology to allow remote working, minimizing exposure risks.</w:t>
      </w:r>
    </w:p>
    <w:p w14:paraId="76DE2F78" w14:textId="77777777" w:rsidR="00C659CB" w:rsidRPr="00CE0CBA" w:rsidRDefault="00C659CB" w:rsidP="002E73D5">
      <w:pPr>
        <w:numPr>
          <w:ilvl w:val="0"/>
          <w:numId w:val="7"/>
        </w:numPr>
        <w:spacing w:line="240" w:lineRule="auto"/>
        <w:jc w:val="both"/>
      </w:pPr>
      <w:r w:rsidRPr="00CE0CBA">
        <w:rPr>
          <w:b/>
          <w:bCs/>
        </w:rPr>
        <w:t>Government Compliance</w:t>
      </w:r>
      <w:r w:rsidRPr="00CE0CBA">
        <w:t>: The company will adhere to official government pandemic safety policies, including:</w:t>
      </w:r>
    </w:p>
    <w:p w14:paraId="44D00641" w14:textId="77777777" w:rsidR="00C659CB" w:rsidRPr="00CE0CBA" w:rsidRDefault="00C659CB" w:rsidP="002E73D5">
      <w:pPr>
        <w:numPr>
          <w:ilvl w:val="1"/>
          <w:numId w:val="7"/>
        </w:numPr>
        <w:spacing w:line="240" w:lineRule="auto"/>
        <w:jc w:val="both"/>
      </w:pPr>
      <w:r w:rsidRPr="00CE0CBA">
        <w:t>Wearing face masks where required.</w:t>
      </w:r>
    </w:p>
    <w:p w14:paraId="7B8CC899" w14:textId="77777777" w:rsidR="00C659CB" w:rsidRPr="00CE0CBA" w:rsidRDefault="00C659CB" w:rsidP="002E73D5">
      <w:pPr>
        <w:numPr>
          <w:ilvl w:val="1"/>
          <w:numId w:val="7"/>
        </w:numPr>
        <w:spacing w:line="240" w:lineRule="auto"/>
        <w:jc w:val="both"/>
      </w:pPr>
      <w:r w:rsidRPr="00CE0CBA">
        <w:t>Regular sanitization of workspaces.</w:t>
      </w:r>
    </w:p>
    <w:p w14:paraId="62F87F61" w14:textId="77777777" w:rsidR="00C659CB" w:rsidRPr="00CE0CBA" w:rsidRDefault="00C659CB" w:rsidP="002E73D5">
      <w:pPr>
        <w:numPr>
          <w:ilvl w:val="1"/>
          <w:numId w:val="7"/>
        </w:numPr>
        <w:spacing w:line="240" w:lineRule="auto"/>
        <w:jc w:val="both"/>
      </w:pPr>
      <w:r w:rsidRPr="00CE0CBA">
        <w:t>Enforcing social distancing measures.</w:t>
      </w:r>
    </w:p>
    <w:p w14:paraId="44B9485E" w14:textId="77777777" w:rsidR="002E73D5" w:rsidRDefault="002E73D5" w:rsidP="002E73D5">
      <w:pPr>
        <w:jc w:val="both"/>
        <w:rPr>
          <w:b/>
          <w:bCs/>
        </w:rPr>
      </w:pPr>
      <w:r>
        <w:rPr>
          <w:b/>
          <w:bCs/>
        </w:rPr>
        <w:br w:type="page"/>
      </w:r>
    </w:p>
    <w:p w14:paraId="723B985B" w14:textId="7CE05211" w:rsidR="00C659CB" w:rsidRPr="00CE0CBA" w:rsidRDefault="00C659CB" w:rsidP="002E73D5">
      <w:pPr>
        <w:spacing w:line="240" w:lineRule="auto"/>
        <w:jc w:val="both"/>
        <w:rPr>
          <w:b/>
          <w:bCs/>
        </w:rPr>
      </w:pPr>
      <w:r w:rsidRPr="00CE0CBA">
        <w:rPr>
          <w:b/>
          <w:bCs/>
        </w:rPr>
        <w:lastRenderedPageBreak/>
        <w:t>3.2 Response Measures</w:t>
      </w:r>
    </w:p>
    <w:p w14:paraId="7350DF61" w14:textId="77777777" w:rsidR="00C659CB" w:rsidRPr="00CE0CBA" w:rsidRDefault="00C659CB" w:rsidP="002E73D5">
      <w:pPr>
        <w:numPr>
          <w:ilvl w:val="0"/>
          <w:numId w:val="8"/>
        </w:numPr>
        <w:spacing w:line="240" w:lineRule="auto"/>
        <w:jc w:val="both"/>
      </w:pPr>
      <w:r w:rsidRPr="00CE0CBA">
        <w:rPr>
          <w:b/>
          <w:bCs/>
        </w:rPr>
        <w:t>Workplace Safety</w:t>
      </w:r>
      <w:r w:rsidRPr="00CE0CBA">
        <w:t>:</w:t>
      </w:r>
    </w:p>
    <w:p w14:paraId="0096840E" w14:textId="77777777" w:rsidR="00C659CB" w:rsidRPr="00CE0CBA" w:rsidRDefault="00C659CB" w:rsidP="002E73D5">
      <w:pPr>
        <w:numPr>
          <w:ilvl w:val="1"/>
          <w:numId w:val="8"/>
        </w:numPr>
        <w:spacing w:line="240" w:lineRule="auto"/>
        <w:jc w:val="both"/>
      </w:pPr>
      <w:r w:rsidRPr="00CE0CBA">
        <w:t>Implement screening measures for employees and visitors.</w:t>
      </w:r>
    </w:p>
    <w:p w14:paraId="2954AB49" w14:textId="77777777" w:rsidR="00C659CB" w:rsidRPr="00CE0CBA" w:rsidRDefault="00C659CB" w:rsidP="002E73D5">
      <w:pPr>
        <w:numPr>
          <w:ilvl w:val="1"/>
          <w:numId w:val="8"/>
        </w:numPr>
        <w:spacing w:line="240" w:lineRule="auto"/>
        <w:jc w:val="both"/>
      </w:pPr>
      <w:r w:rsidRPr="00CE0CBA">
        <w:t>Establish isolation protocols for suspected cases within the workplace.</w:t>
      </w:r>
    </w:p>
    <w:p w14:paraId="303BCAB7" w14:textId="77777777" w:rsidR="00C659CB" w:rsidRPr="00CE0CBA" w:rsidRDefault="00C659CB" w:rsidP="002E73D5">
      <w:pPr>
        <w:numPr>
          <w:ilvl w:val="0"/>
          <w:numId w:val="8"/>
        </w:numPr>
        <w:spacing w:line="240" w:lineRule="auto"/>
        <w:jc w:val="both"/>
      </w:pPr>
      <w:r w:rsidRPr="00CE0CBA">
        <w:rPr>
          <w:b/>
          <w:bCs/>
        </w:rPr>
        <w:t>Supply Chain Management</w:t>
      </w:r>
      <w:r w:rsidRPr="00CE0CBA">
        <w:t>:</w:t>
      </w:r>
    </w:p>
    <w:p w14:paraId="00DCA07E" w14:textId="77777777" w:rsidR="00C659CB" w:rsidRPr="00CE0CBA" w:rsidRDefault="00C659CB" w:rsidP="002E73D5">
      <w:pPr>
        <w:numPr>
          <w:ilvl w:val="1"/>
          <w:numId w:val="8"/>
        </w:numPr>
        <w:spacing w:line="240" w:lineRule="auto"/>
        <w:jc w:val="both"/>
      </w:pPr>
      <w:r w:rsidRPr="00CE0CBA">
        <w:t>Use supplier evaluations to determine the best-suited providers during pandemic-induced disruptions.</w:t>
      </w:r>
    </w:p>
    <w:p w14:paraId="2B05C0FA" w14:textId="77777777" w:rsidR="00C659CB" w:rsidRPr="00CE0CBA" w:rsidRDefault="00C659CB" w:rsidP="002E73D5">
      <w:pPr>
        <w:numPr>
          <w:ilvl w:val="1"/>
          <w:numId w:val="8"/>
        </w:numPr>
        <w:spacing w:line="240" w:lineRule="auto"/>
        <w:jc w:val="both"/>
      </w:pPr>
      <w:r w:rsidRPr="00CE0CBA">
        <w:t>Maintain essential inventory levels to prevent shortages.</w:t>
      </w:r>
    </w:p>
    <w:p w14:paraId="16C905B0" w14:textId="77777777" w:rsidR="00C659CB" w:rsidRPr="00CE0CBA" w:rsidRDefault="00C659CB" w:rsidP="002E73D5">
      <w:pPr>
        <w:spacing w:line="240" w:lineRule="auto"/>
        <w:jc w:val="both"/>
        <w:rPr>
          <w:b/>
          <w:bCs/>
        </w:rPr>
      </w:pPr>
      <w:r w:rsidRPr="00CE0CBA">
        <w:rPr>
          <w:b/>
          <w:bCs/>
        </w:rPr>
        <w:t>3.3 Post-Pandemic Recovery</w:t>
      </w:r>
    </w:p>
    <w:p w14:paraId="38EBE384" w14:textId="77777777" w:rsidR="00C659CB" w:rsidRPr="00CE0CBA" w:rsidRDefault="00C659CB" w:rsidP="002E73D5">
      <w:pPr>
        <w:numPr>
          <w:ilvl w:val="0"/>
          <w:numId w:val="9"/>
        </w:numPr>
        <w:spacing w:line="240" w:lineRule="auto"/>
        <w:jc w:val="both"/>
      </w:pPr>
      <w:r w:rsidRPr="00CE0CBA">
        <w:t>Review and update pandemic response policies based on lessons learned.</w:t>
      </w:r>
    </w:p>
    <w:p w14:paraId="4C8409BB" w14:textId="77777777" w:rsidR="00C659CB" w:rsidRPr="00CE0CBA" w:rsidRDefault="00C659CB" w:rsidP="002E73D5">
      <w:pPr>
        <w:numPr>
          <w:ilvl w:val="0"/>
          <w:numId w:val="9"/>
        </w:numPr>
        <w:spacing w:line="240" w:lineRule="auto"/>
        <w:jc w:val="both"/>
      </w:pPr>
      <w:r w:rsidRPr="00CE0CBA">
        <w:t>Conduct well-being assessments for employees returning to the workplace.</w:t>
      </w:r>
    </w:p>
    <w:p w14:paraId="1FDDA315" w14:textId="74C4AE49" w:rsidR="00C659CB" w:rsidRPr="006A4641" w:rsidRDefault="00C659CB" w:rsidP="002E73D5">
      <w:pPr>
        <w:numPr>
          <w:ilvl w:val="0"/>
          <w:numId w:val="9"/>
        </w:numPr>
        <w:spacing w:line="240" w:lineRule="auto"/>
        <w:jc w:val="both"/>
      </w:pPr>
      <w:r w:rsidRPr="00CE0CBA">
        <w:t>Strengthen business continuity planning for future pandemic scenarios.</w:t>
      </w:r>
    </w:p>
    <w:p w14:paraId="648656CF" w14:textId="04933ED2" w:rsidR="00C659CB" w:rsidRPr="00CE0CBA" w:rsidRDefault="00C659CB" w:rsidP="002E73D5">
      <w:pPr>
        <w:spacing w:line="240" w:lineRule="auto"/>
        <w:jc w:val="both"/>
        <w:rPr>
          <w:b/>
          <w:bCs/>
        </w:rPr>
      </w:pPr>
      <w:r w:rsidRPr="00CE0CBA">
        <w:rPr>
          <w:b/>
          <w:bCs/>
        </w:rPr>
        <w:t>4. Responsibility</w:t>
      </w:r>
    </w:p>
    <w:p w14:paraId="10BD2BBA" w14:textId="10A77B86" w:rsidR="00C659CB" w:rsidRPr="00CE0CBA" w:rsidRDefault="00C659CB" w:rsidP="002E73D5">
      <w:pPr>
        <w:numPr>
          <w:ilvl w:val="0"/>
          <w:numId w:val="10"/>
        </w:numPr>
        <w:spacing w:line="240" w:lineRule="auto"/>
        <w:jc w:val="both"/>
      </w:pPr>
      <w:r w:rsidRPr="00CE0CBA">
        <w:rPr>
          <w:b/>
          <w:bCs/>
        </w:rPr>
        <w:t>Implementation and Review</w:t>
      </w:r>
      <w:r w:rsidRPr="00CE0CBA">
        <w:t xml:space="preserve">: The responsibility to implement and review this policy lies with </w:t>
      </w:r>
      <w:r w:rsidR="00C017C8" w:rsidRPr="00C017C8">
        <w:rPr>
          <w:b/>
          <w:bCs/>
        </w:rPr>
        <w:t>Top</w:t>
      </w:r>
      <w:r w:rsidRPr="00C017C8">
        <w:rPr>
          <w:b/>
          <w:bCs/>
        </w:rPr>
        <w:t xml:space="preserve"> </w:t>
      </w:r>
      <w:r w:rsidRPr="00CE0CBA">
        <w:rPr>
          <w:b/>
          <w:bCs/>
        </w:rPr>
        <w:t>management</w:t>
      </w:r>
      <w:r w:rsidRPr="00CE0CBA">
        <w:t>.</w:t>
      </w:r>
    </w:p>
    <w:p w14:paraId="444340F5" w14:textId="0EF16582" w:rsidR="00C659CB" w:rsidRPr="00CE0CBA" w:rsidRDefault="00C659CB" w:rsidP="002E73D5">
      <w:pPr>
        <w:numPr>
          <w:ilvl w:val="0"/>
          <w:numId w:val="10"/>
        </w:numPr>
        <w:spacing w:line="240" w:lineRule="auto"/>
        <w:jc w:val="both"/>
      </w:pPr>
      <w:r w:rsidRPr="00CE0CBA">
        <w:rPr>
          <w:b/>
          <w:bCs/>
        </w:rPr>
        <w:t>Policy Updates</w:t>
      </w:r>
      <w:r w:rsidRPr="00CE0CBA">
        <w:t xml:space="preserve">: </w:t>
      </w:r>
      <w:r w:rsidR="00C017C8">
        <w:t>Top</w:t>
      </w:r>
      <w:r w:rsidRPr="00CE0CBA">
        <w:t xml:space="preserve"> management will review this Crisis and Emergency Policy annually to ensure effectiveness and alignment with evolving risks and regulations.</w:t>
      </w:r>
    </w:p>
    <w:p w14:paraId="52471F0C" w14:textId="77777777" w:rsidR="00400396" w:rsidRPr="00C659CB" w:rsidRDefault="00400396">
      <w:pPr>
        <w:rPr>
          <w:rFonts w:ascii="Cambria" w:hAnsi="Cambria"/>
          <w:sz w:val="20"/>
          <w:szCs w:val="20"/>
        </w:rPr>
      </w:pPr>
    </w:p>
    <w:sectPr w:rsidR="00400396" w:rsidRPr="00C659CB" w:rsidSect="006A464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BC80EA" w14:textId="77777777" w:rsidR="007A599B" w:rsidRDefault="007A599B" w:rsidP="00C659CB">
      <w:pPr>
        <w:spacing w:after="0" w:line="240" w:lineRule="auto"/>
      </w:pPr>
      <w:r>
        <w:separator/>
      </w:r>
    </w:p>
  </w:endnote>
  <w:endnote w:type="continuationSeparator" w:id="0">
    <w:p w14:paraId="51256043" w14:textId="77777777" w:rsidR="007A599B" w:rsidRDefault="007A599B" w:rsidP="00C65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4942040"/>
      <w:docPartObj>
        <w:docPartGallery w:val="Page Numbers (Bottom of Page)"/>
        <w:docPartUnique/>
      </w:docPartObj>
    </w:sdtPr>
    <w:sdtEndPr>
      <w:rPr>
        <w:color w:val="7F7F7F" w:themeColor="background1" w:themeShade="7F"/>
        <w:spacing w:val="60"/>
      </w:rPr>
    </w:sdtEndPr>
    <w:sdtContent>
      <w:p w14:paraId="734A8B6D" w14:textId="3D0EAC02" w:rsidR="002E73D5" w:rsidRDefault="002E73D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4BA552" w14:textId="69821E51" w:rsidR="0009243E" w:rsidRDefault="0009243E">
    <w:pPr>
      <w:pStyle w:val="Footer"/>
      <w:jc w:val="center"/>
      <w:rPr>
        <w:caps/>
        <w:noProof/>
        <w:color w:val="156082"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952D9" w14:textId="77777777" w:rsidR="007A599B" w:rsidRDefault="007A599B" w:rsidP="00C659CB">
      <w:pPr>
        <w:spacing w:after="0" w:line="240" w:lineRule="auto"/>
      </w:pPr>
      <w:r>
        <w:separator/>
      </w:r>
    </w:p>
  </w:footnote>
  <w:footnote w:type="continuationSeparator" w:id="0">
    <w:p w14:paraId="43910F9A" w14:textId="77777777" w:rsidR="007A599B" w:rsidRDefault="007A599B" w:rsidP="00C65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Borders>
        <w:bottom w:val="single" w:sz="4" w:space="0" w:color="808080" w:themeColor="background1" w:themeShade="80"/>
      </w:tblBorders>
      <w:tblLayout w:type="fixed"/>
      <w:tblLook w:val="01E0" w:firstRow="1" w:lastRow="1" w:firstColumn="1" w:lastColumn="1" w:noHBand="0" w:noVBand="0"/>
    </w:tblPr>
    <w:tblGrid>
      <w:gridCol w:w="3686"/>
      <w:gridCol w:w="6129"/>
    </w:tblGrid>
    <w:tr w:rsidR="006A4641" w:rsidRPr="00E119F4" w14:paraId="56B27FFB" w14:textId="77777777" w:rsidTr="00B2255B">
      <w:trPr>
        <w:trHeight w:hRule="exact" w:val="475"/>
      </w:trPr>
      <w:tc>
        <w:tcPr>
          <w:tcW w:w="3686" w:type="dxa"/>
          <w:vMerge w:val="restart"/>
          <w:vAlign w:val="center"/>
        </w:tcPr>
        <w:p w14:paraId="1CA781A2" w14:textId="77777777" w:rsidR="006A4641" w:rsidRPr="004C1A3F" w:rsidRDefault="006A4641" w:rsidP="006A4641">
          <w:pPr>
            <w:pStyle w:val="Footer"/>
          </w:pPr>
          <w:r>
            <w:rPr>
              <w:noProof/>
              <w:bdr w:val="none" w:sz="0" w:space="0" w:color="auto" w:frame="1"/>
            </w:rPr>
            <w:drawing>
              <wp:inline distT="0" distB="0" distL="0" distR="0" wp14:anchorId="31854D63" wp14:editId="61F6A19C">
                <wp:extent cx="2381250" cy="659018"/>
                <wp:effectExtent l="0" t="0" r="0" b="0"/>
                <wp:docPr id="1681130279"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5192" cy="660109"/>
                        </a:xfrm>
                        <a:prstGeom prst="rect">
                          <a:avLst/>
                        </a:prstGeom>
                        <a:noFill/>
                        <a:ln>
                          <a:noFill/>
                        </a:ln>
                      </pic:spPr>
                    </pic:pic>
                  </a:graphicData>
                </a:graphic>
              </wp:inline>
            </w:drawing>
          </w:r>
        </w:p>
      </w:tc>
      <w:tc>
        <w:tcPr>
          <w:tcW w:w="6129" w:type="dxa"/>
          <w:vAlign w:val="center"/>
        </w:tcPr>
        <w:p w14:paraId="6124F55F" w14:textId="77777777" w:rsidR="006A4641" w:rsidRDefault="006A4641" w:rsidP="006A4641">
          <w:pPr>
            <w:pStyle w:val="Header"/>
            <w:tabs>
              <w:tab w:val="left" w:pos="2580"/>
              <w:tab w:val="left" w:pos="2985"/>
            </w:tabs>
            <w:jc w:val="right"/>
            <w:rPr>
              <w:rFonts w:ascii="Arial" w:hAnsi="Arial"/>
              <w:b/>
              <w:bCs/>
              <w:sz w:val="36"/>
              <w:szCs w:val="28"/>
            </w:rPr>
          </w:pPr>
          <w:r>
            <w:rPr>
              <w:rFonts w:ascii="Arial" w:hAnsi="Arial"/>
              <w:b/>
              <w:bCs/>
              <w:sz w:val="36"/>
              <w:szCs w:val="28"/>
            </w:rPr>
            <w:t>ISO 9001:2015</w:t>
          </w:r>
        </w:p>
        <w:p w14:paraId="61E62F53" w14:textId="77777777" w:rsidR="006A4641" w:rsidRPr="00745BBC" w:rsidRDefault="006A4641" w:rsidP="006A4641">
          <w:pPr>
            <w:pStyle w:val="Footer"/>
            <w:jc w:val="right"/>
            <w:rPr>
              <w:rStyle w:val="PageNumber"/>
              <w:sz w:val="18"/>
              <w:szCs w:val="16"/>
            </w:rPr>
          </w:pPr>
        </w:p>
      </w:tc>
    </w:tr>
    <w:tr w:rsidR="006A4641" w:rsidRPr="00E119F4" w14:paraId="71DFCB40" w14:textId="77777777" w:rsidTr="00286F25">
      <w:trPr>
        <w:trHeight w:hRule="exact" w:val="424"/>
      </w:trPr>
      <w:tc>
        <w:tcPr>
          <w:tcW w:w="3686" w:type="dxa"/>
          <w:vMerge/>
          <w:vAlign w:val="center"/>
        </w:tcPr>
        <w:p w14:paraId="18E4B18E" w14:textId="77777777" w:rsidR="006A4641" w:rsidRPr="00745BBC" w:rsidRDefault="006A4641" w:rsidP="006A4641">
          <w:pPr>
            <w:pStyle w:val="Footer"/>
          </w:pPr>
        </w:p>
      </w:tc>
      <w:tc>
        <w:tcPr>
          <w:tcW w:w="6129" w:type="dxa"/>
          <w:vAlign w:val="center"/>
        </w:tcPr>
        <w:p w14:paraId="163281CE" w14:textId="77777777" w:rsidR="00286F25" w:rsidRPr="00CE0CBA" w:rsidRDefault="00286F25" w:rsidP="00286F25">
          <w:pPr>
            <w:jc w:val="right"/>
            <w:rPr>
              <w:b/>
              <w:bCs/>
            </w:rPr>
          </w:pPr>
          <w:r w:rsidRPr="00CE0CBA">
            <w:rPr>
              <w:b/>
              <w:bCs/>
            </w:rPr>
            <w:t>Crisis and Emergency Policy</w:t>
          </w:r>
        </w:p>
        <w:p w14:paraId="187C413F" w14:textId="7221CFEC" w:rsidR="006A4641" w:rsidRPr="00D1480E" w:rsidRDefault="006A4641" w:rsidP="00286F25">
          <w:pPr>
            <w:pStyle w:val="Header"/>
            <w:tabs>
              <w:tab w:val="left" w:pos="2580"/>
              <w:tab w:val="left" w:pos="2985"/>
            </w:tabs>
            <w:jc w:val="right"/>
            <w:rPr>
              <w:rFonts w:ascii="Arial" w:hAnsi="Arial"/>
              <w:b/>
              <w:color w:val="156082" w:themeColor="accent1"/>
            </w:rPr>
          </w:pPr>
        </w:p>
      </w:tc>
    </w:tr>
  </w:tbl>
  <w:p w14:paraId="07CE692D" w14:textId="77777777" w:rsidR="00C659CB" w:rsidRDefault="00C659CB" w:rsidP="006A46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459DB"/>
    <w:multiLevelType w:val="multilevel"/>
    <w:tmpl w:val="D498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D2C83"/>
    <w:multiLevelType w:val="multilevel"/>
    <w:tmpl w:val="D79E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C6929"/>
    <w:multiLevelType w:val="multilevel"/>
    <w:tmpl w:val="2F763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248CF"/>
    <w:multiLevelType w:val="multilevel"/>
    <w:tmpl w:val="D8C49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A322C"/>
    <w:multiLevelType w:val="multilevel"/>
    <w:tmpl w:val="F1B4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84A0E"/>
    <w:multiLevelType w:val="multilevel"/>
    <w:tmpl w:val="88E2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F0BDA"/>
    <w:multiLevelType w:val="multilevel"/>
    <w:tmpl w:val="BEEAA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D1C60"/>
    <w:multiLevelType w:val="multilevel"/>
    <w:tmpl w:val="92486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CE1D65"/>
    <w:multiLevelType w:val="multilevel"/>
    <w:tmpl w:val="B6E4C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2743B2"/>
    <w:multiLevelType w:val="multilevel"/>
    <w:tmpl w:val="6F02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1628354">
    <w:abstractNumId w:val="7"/>
  </w:num>
  <w:num w:numId="2" w16cid:durableId="1418013423">
    <w:abstractNumId w:val="8"/>
  </w:num>
  <w:num w:numId="3" w16cid:durableId="1507132009">
    <w:abstractNumId w:val="5"/>
  </w:num>
  <w:num w:numId="4" w16cid:durableId="460612417">
    <w:abstractNumId w:val="9"/>
  </w:num>
  <w:num w:numId="5" w16cid:durableId="1010763410">
    <w:abstractNumId w:val="6"/>
  </w:num>
  <w:num w:numId="6" w16cid:durableId="132065570">
    <w:abstractNumId w:val="1"/>
  </w:num>
  <w:num w:numId="7" w16cid:durableId="1178620104">
    <w:abstractNumId w:val="2"/>
  </w:num>
  <w:num w:numId="8" w16cid:durableId="1564753869">
    <w:abstractNumId w:val="3"/>
  </w:num>
  <w:num w:numId="9" w16cid:durableId="718162480">
    <w:abstractNumId w:val="0"/>
  </w:num>
  <w:num w:numId="10" w16cid:durableId="17010093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9CB"/>
    <w:rsid w:val="00017DB2"/>
    <w:rsid w:val="0009243E"/>
    <w:rsid w:val="000D6EAD"/>
    <w:rsid w:val="00163466"/>
    <w:rsid w:val="001B259F"/>
    <w:rsid w:val="001B2999"/>
    <w:rsid w:val="001B665E"/>
    <w:rsid w:val="002031F8"/>
    <w:rsid w:val="00286F25"/>
    <w:rsid w:val="002E73D5"/>
    <w:rsid w:val="003D5229"/>
    <w:rsid w:val="00400396"/>
    <w:rsid w:val="00553374"/>
    <w:rsid w:val="0067676F"/>
    <w:rsid w:val="006A4641"/>
    <w:rsid w:val="006A5FDE"/>
    <w:rsid w:val="007A599B"/>
    <w:rsid w:val="00823669"/>
    <w:rsid w:val="008F7178"/>
    <w:rsid w:val="00904BFE"/>
    <w:rsid w:val="00A36CBE"/>
    <w:rsid w:val="00A37BA4"/>
    <w:rsid w:val="00AD3C26"/>
    <w:rsid w:val="00BF2A9F"/>
    <w:rsid w:val="00C017C8"/>
    <w:rsid w:val="00C2596D"/>
    <w:rsid w:val="00C32B1B"/>
    <w:rsid w:val="00C659CB"/>
    <w:rsid w:val="00C946B5"/>
    <w:rsid w:val="00CE0CBA"/>
    <w:rsid w:val="00DB2389"/>
    <w:rsid w:val="00E15B87"/>
    <w:rsid w:val="00E84010"/>
    <w:rsid w:val="00EF7941"/>
    <w:rsid w:val="00F56C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0444C6"/>
  <w15:chartTrackingRefBased/>
  <w15:docId w15:val="{265F91F6-F45D-486F-877E-591136468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9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59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59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59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59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5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9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59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59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59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59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5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9CB"/>
    <w:rPr>
      <w:rFonts w:eastAsiaTheme="majorEastAsia" w:cstheme="majorBidi"/>
      <w:color w:val="272727" w:themeColor="text1" w:themeTint="D8"/>
    </w:rPr>
  </w:style>
  <w:style w:type="paragraph" w:styleId="Title">
    <w:name w:val="Title"/>
    <w:basedOn w:val="Normal"/>
    <w:next w:val="Normal"/>
    <w:link w:val="TitleChar"/>
    <w:uiPriority w:val="10"/>
    <w:qFormat/>
    <w:rsid w:val="00C65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9CB"/>
    <w:pPr>
      <w:spacing w:before="160"/>
      <w:jc w:val="center"/>
    </w:pPr>
    <w:rPr>
      <w:i/>
      <w:iCs/>
      <w:color w:val="404040" w:themeColor="text1" w:themeTint="BF"/>
    </w:rPr>
  </w:style>
  <w:style w:type="character" w:customStyle="1" w:styleId="QuoteChar">
    <w:name w:val="Quote Char"/>
    <w:basedOn w:val="DefaultParagraphFont"/>
    <w:link w:val="Quote"/>
    <w:uiPriority w:val="29"/>
    <w:rsid w:val="00C659CB"/>
    <w:rPr>
      <w:i/>
      <w:iCs/>
      <w:color w:val="404040" w:themeColor="text1" w:themeTint="BF"/>
    </w:rPr>
  </w:style>
  <w:style w:type="paragraph" w:styleId="ListParagraph">
    <w:name w:val="List Paragraph"/>
    <w:basedOn w:val="Normal"/>
    <w:uiPriority w:val="34"/>
    <w:qFormat/>
    <w:rsid w:val="00C659CB"/>
    <w:pPr>
      <w:ind w:left="720"/>
      <w:contextualSpacing/>
    </w:pPr>
  </w:style>
  <w:style w:type="character" w:styleId="IntenseEmphasis">
    <w:name w:val="Intense Emphasis"/>
    <w:basedOn w:val="DefaultParagraphFont"/>
    <w:uiPriority w:val="21"/>
    <w:qFormat/>
    <w:rsid w:val="00C659CB"/>
    <w:rPr>
      <w:i/>
      <w:iCs/>
      <w:color w:val="0F4761" w:themeColor="accent1" w:themeShade="BF"/>
    </w:rPr>
  </w:style>
  <w:style w:type="paragraph" w:styleId="IntenseQuote">
    <w:name w:val="Intense Quote"/>
    <w:basedOn w:val="Normal"/>
    <w:next w:val="Normal"/>
    <w:link w:val="IntenseQuoteChar"/>
    <w:uiPriority w:val="30"/>
    <w:qFormat/>
    <w:rsid w:val="00C659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9CB"/>
    <w:rPr>
      <w:i/>
      <w:iCs/>
      <w:color w:val="0F4761" w:themeColor="accent1" w:themeShade="BF"/>
    </w:rPr>
  </w:style>
  <w:style w:type="character" w:styleId="IntenseReference">
    <w:name w:val="Intense Reference"/>
    <w:basedOn w:val="DefaultParagraphFont"/>
    <w:uiPriority w:val="32"/>
    <w:qFormat/>
    <w:rsid w:val="00C659CB"/>
    <w:rPr>
      <w:b/>
      <w:bCs/>
      <w:smallCaps/>
      <w:color w:val="0F4761" w:themeColor="accent1" w:themeShade="BF"/>
      <w:spacing w:val="5"/>
    </w:rPr>
  </w:style>
  <w:style w:type="paragraph" w:styleId="Header">
    <w:name w:val="header"/>
    <w:basedOn w:val="Normal"/>
    <w:link w:val="HeaderChar"/>
    <w:uiPriority w:val="99"/>
    <w:unhideWhenUsed/>
    <w:rsid w:val="00C659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9CB"/>
  </w:style>
  <w:style w:type="paragraph" w:styleId="Footer">
    <w:name w:val="footer"/>
    <w:basedOn w:val="Normal"/>
    <w:link w:val="FooterChar"/>
    <w:uiPriority w:val="99"/>
    <w:unhideWhenUsed/>
    <w:rsid w:val="00C659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9CB"/>
  </w:style>
  <w:style w:type="paragraph" w:styleId="TOC1">
    <w:name w:val="toc 1"/>
    <w:basedOn w:val="Normal"/>
    <w:next w:val="Normal"/>
    <w:autoRedefine/>
    <w:uiPriority w:val="39"/>
    <w:semiHidden/>
    <w:unhideWhenUsed/>
    <w:qFormat/>
    <w:rsid w:val="006A5FDE"/>
    <w:pPr>
      <w:autoSpaceDE w:val="0"/>
      <w:autoSpaceDN w:val="0"/>
      <w:adjustRightInd w:val="0"/>
      <w:spacing w:before="120" w:after="0" w:line="276" w:lineRule="auto"/>
    </w:pPr>
    <w:rPr>
      <w:rFonts w:eastAsia="Times New Roman" w:cs="Arial"/>
      <w:b/>
      <w:bCs/>
      <w:i/>
      <w:iCs/>
      <w:color w:val="000000"/>
      <w:kern w:val="0"/>
      <w:lang w:eastAsia="en-GB"/>
      <w14:ligatures w14:val="none"/>
    </w:rPr>
  </w:style>
  <w:style w:type="character" w:customStyle="1" w:styleId="NoSpacingChar">
    <w:name w:val="No Spacing Char"/>
    <w:basedOn w:val="DefaultParagraphFont"/>
    <w:link w:val="NoSpacing"/>
    <w:locked/>
    <w:rsid w:val="006A5FDE"/>
    <w:rPr>
      <w:rFonts w:ascii="Calibri" w:eastAsia="Times New Roman" w:hAnsi="Calibri" w:cs="Times New Roman"/>
      <w:color w:val="0A1D30" w:themeColor="text2" w:themeShade="BF"/>
      <w:kern w:val="0"/>
      <w:sz w:val="20"/>
      <w:szCs w:val="22"/>
      <w:lang w:val="en-US"/>
      <w14:ligatures w14:val="none"/>
    </w:rPr>
  </w:style>
  <w:style w:type="paragraph" w:styleId="NoSpacing">
    <w:name w:val="No Spacing"/>
    <w:link w:val="NoSpacingChar"/>
    <w:qFormat/>
    <w:rsid w:val="006A5FDE"/>
    <w:pPr>
      <w:spacing w:after="0" w:line="240" w:lineRule="auto"/>
    </w:pPr>
    <w:rPr>
      <w:rFonts w:ascii="Calibri" w:eastAsia="Times New Roman" w:hAnsi="Calibri" w:cs="Times New Roman"/>
      <w:color w:val="0A1D30" w:themeColor="text2" w:themeShade="BF"/>
      <w:kern w:val="0"/>
      <w:sz w:val="20"/>
      <w:szCs w:val="22"/>
      <w:lang w:val="en-US"/>
      <w14:ligatures w14:val="none"/>
    </w:rPr>
  </w:style>
  <w:style w:type="table" w:styleId="TableGrid">
    <w:name w:val="Table Grid"/>
    <w:basedOn w:val="TableNormal"/>
    <w:rsid w:val="006A5FDE"/>
    <w:pPr>
      <w:spacing w:after="0" w:line="240" w:lineRule="auto"/>
    </w:pPr>
    <w:rPr>
      <w:rFonts w:ascii="Times New Roman" w:eastAsia="Times New Roman" w:hAnsi="Times New Roman"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A4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9554676">
      <w:bodyDiv w:val="1"/>
      <w:marLeft w:val="0"/>
      <w:marRight w:val="0"/>
      <w:marTop w:val="0"/>
      <w:marBottom w:val="0"/>
      <w:divBdr>
        <w:top w:val="none" w:sz="0" w:space="0" w:color="auto"/>
        <w:left w:val="none" w:sz="0" w:space="0" w:color="auto"/>
        <w:bottom w:val="none" w:sz="0" w:space="0" w:color="auto"/>
        <w:right w:val="none" w:sz="0" w:space="0" w:color="auto"/>
      </w:divBdr>
      <w:divsChild>
        <w:div w:id="359399474">
          <w:marLeft w:val="0"/>
          <w:marRight w:val="0"/>
          <w:marTop w:val="0"/>
          <w:marBottom w:val="0"/>
          <w:divBdr>
            <w:top w:val="none" w:sz="0" w:space="0" w:color="auto"/>
            <w:left w:val="none" w:sz="0" w:space="0" w:color="auto"/>
            <w:bottom w:val="none" w:sz="0" w:space="0" w:color="auto"/>
            <w:right w:val="none" w:sz="0" w:space="0" w:color="auto"/>
          </w:divBdr>
        </w:div>
        <w:div w:id="1204637285">
          <w:marLeft w:val="0"/>
          <w:marRight w:val="0"/>
          <w:marTop w:val="0"/>
          <w:marBottom w:val="0"/>
          <w:divBdr>
            <w:top w:val="none" w:sz="0" w:space="0" w:color="auto"/>
            <w:left w:val="none" w:sz="0" w:space="0" w:color="auto"/>
            <w:bottom w:val="none" w:sz="0" w:space="0" w:color="auto"/>
            <w:right w:val="none" w:sz="0" w:space="0" w:color="auto"/>
          </w:divBdr>
        </w:div>
        <w:div w:id="1766269565">
          <w:marLeft w:val="0"/>
          <w:marRight w:val="0"/>
          <w:marTop w:val="0"/>
          <w:marBottom w:val="0"/>
          <w:divBdr>
            <w:top w:val="none" w:sz="0" w:space="0" w:color="auto"/>
            <w:left w:val="none" w:sz="0" w:space="0" w:color="auto"/>
            <w:bottom w:val="none" w:sz="0" w:space="0" w:color="auto"/>
            <w:right w:val="none" w:sz="0" w:space="0" w:color="auto"/>
          </w:divBdr>
        </w:div>
        <w:div w:id="458036104">
          <w:marLeft w:val="0"/>
          <w:marRight w:val="0"/>
          <w:marTop w:val="0"/>
          <w:marBottom w:val="0"/>
          <w:divBdr>
            <w:top w:val="none" w:sz="0" w:space="0" w:color="auto"/>
            <w:left w:val="none" w:sz="0" w:space="0" w:color="auto"/>
            <w:bottom w:val="none" w:sz="0" w:space="0" w:color="auto"/>
            <w:right w:val="none" w:sz="0" w:space="0" w:color="auto"/>
          </w:divBdr>
        </w:div>
      </w:divsChild>
    </w:div>
    <w:div w:id="1791823079">
      <w:bodyDiv w:val="1"/>
      <w:marLeft w:val="0"/>
      <w:marRight w:val="0"/>
      <w:marTop w:val="0"/>
      <w:marBottom w:val="0"/>
      <w:divBdr>
        <w:top w:val="none" w:sz="0" w:space="0" w:color="auto"/>
        <w:left w:val="none" w:sz="0" w:space="0" w:color="auto"/>
        <w:bottom w:val="none" w:sz="0" w:space="0" w:color="auto"/>
        <w:right w:val="none" w:sz="0" w:space="0" w:color="auto"/>
      </w:divBdr>
      <w:divsChild>
        <w:div w:id="1213470050">
          <w:marLeft w:val="0"/>
          <w:marRight w:val="0"/>
          <w:marTop w:val="0"/>
          <w:marBottom w:val="0"/>
          <w:divBdr>
            <w:top w:val="none" w:sz="0" w:space="0" w:color="auto"/>
            <w:left w:val="none" w:sz="0" w:space="0" w:color="auto"/>
            <w:bottom w:val="none" w:sz="0" w:space="0" w:color="auto"/>
            <w:right w:val="none" w:sz="0" w:space="0" w:color="auto"/>
          </w:divBdr>
        </w:div>
        <w:div w:id="566459668">
          <w:marLeft w:val="0"/>
          <w:marRight w:val="0"/>
          <w:marTop w:val="0"/>
          <w:marBottom w:val="0"/>
          <w:divBdr>
            <w:top w:val="none" w:sz="0" w:space="0" w:color="auto"/>
            <w:left w:val="none" w:sz="0" w:space="0" w:color="auto"/>
            <w:bottom w:val="none" w:sz="0" w:space="0" w:color="auto"/>
            <w:right w:val="none" w:sz="0" w:space="0" w:color="auto"/>
          </w:divBdr>
        </w:div>
        <w:div w:id="2016615709">
          <w:marLeft w:val="0"/>
          <w:marRight w:val="0"/>
          <w:marTop w:val="0"/>
          <w:marBottom w:val="0"/>
          <w:divBdr>
            <w:top w:val="none" w:sz="0" w:space="0" w:color="auto"/>
            <w:left w:val="none" w:sz="0" w:space="0" w:color="auto"/>
            <w:bottom w:val="none" w:sz="0" w:space="0" w:color="auto"/>
            <w:right w:val="none" w:sz="0" w:space="0" w:color="auto"/>
          </w:divBdr>
        </w:div>
        <w:div w:id="252519716">
          <w:marLeft w:val="0"/>
          <w:marRight w:val="0"/>
          <w:marTop w:val="0"/>
          <w:marBottom w:val="0"/>
          <w:divBdr>
            <w:top w:val="none" w:sz="0" w:space="0" w:color="auto"/>
            <w:left w:val="none" w:sz="0" w:space="0" w:color="auto"/>
            <w:bottom w:val="none" w:sz="0" w:space="0" w:color="auto"/>
            <w:right w:val="none" w:sz="0" w:space="0" w:color="auto"/>
          </w:divBdr>
        </w:div>
      </w:divsChild>
    </w:div>
    <w:div w:id="214311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1EB63-9027-48EC-87B9-FA1EC65B6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710</Words>
  <Characters>4053</Characters>
  <Application>Microsoft Office Word</Application>
  <DocSecurity>0</DocSecurity>
  <Lines>33</Lines>
  <Paragraphs>9</Paragraphs>
  <ScaleCrop>false</ScaleCrop>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Dhairyasheel Mulik Patil</dc:creator>
  <cp:keywords/>
  <dc:description/>
  <cp:lastModifiedBy>Dhairyasheel Mulik Patil</cp:lastModifiedBy>
  <cp:revision>26</cp:revision>
  <dcterms:created xsi:type="dcterms:W3CDTF">2025-03-10T12:40:00Z</dcterms:created>
  <dcterms:modified xsi:type="dcterms:W3CDTF">2025-04-08T11:07:00Z</dcterms:modified>
</cp:coreProperties>
</file>