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23E37" w14:textId="77777777" w:rsidR="0053597A" w:rsidRDefault="0053597A" w:rsidP="0053597A">
      <w:pPr>
        <w:pStyle w:val="TOC1"/>
        <w:jc w:val="both"/>
        <w:rPr>
          <w:lang w:val="en-US"/>
        </w:rPr>
      </w:pPr>
      <w:bookmarkStart w:id="0" w:name="_Hlk194325268"/>
      <w:r>
        <w:rPr>
          <w:lang w:val="en-US"/>
        </w:rPr>
        <w:t>Approval</w:t>
      </w:r>
    </w:p>
    <w:p w14:paraId="6BB9CC33" w14:textId="77777777" w:rsidR="0053597A" w:rsidRDefault="0053597A" w:rsidP="0053597A">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53597A" w14:paraId="666EE253" w14:textId="77777777" w:rsidTr="0053597A">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DBA30F" w14:textId="77777777" w:rsidR="0053597A" w:rsidRDefault="0053597A">
            <w:pPr>
              <w:pStyle w:val="NoSpacing"/>
              <w:spacing w:line="276" w:lineRule="auto"/>
              <w:jc w:val="both"/>
              <w:rPr>
                <w:kern w:val="2"/>
                <w14:ligatures w14:val="standardContextual"/>
              </w:rPr>
            </w:pP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20B4AE4"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64501DE"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0657100"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EACCE31"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53597A" w14:paraId="1CB63A58" w14:textId="77777777" w:rsidTr="0053597A">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6ED70A7"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1E07A317" w14:textId="77777777" w:rsidR="0053597A" w:rsidRDefault="0053597A">
            <w:pPr>
              <w:spacing w:after="0"/>
              <w:jc w:val="both"/>
              <w:rPr>
                <w:lang w:val="en-US"/>
              </w:rPr>
            </w:pPr>
            <w:r>
              <w:rPr>
                <w:lang w:val="en-US"/>
              </w:rPr>
              <w:t>Dhairyasheel Ashok Mulik Patil</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6087CD4" w14:textId="77777777" w:rsidR="0053597A" w:rsidRDefault="0053597A">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2EA991D4" w14:textId="77777777" w:rsidR="0053597A" w:rsidRDefault="0053597A">
            <w:pPr>
              <w:spacing w:after="0"/>
              <w:jc w:val="both"/>
              <w:rPr>
                <w:lang w:val="en-US"/>
              </w:rPr>
            </w:pPr>
            <w:r>
              <w:rPr>
                <w:lang w:val="en-US"/>
              </w:rPr>
              <w:t>Quality Manager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A4C506D" w14:textId="77777777" w:rsidR="0053597A" w:rsidRDefault="0053597A">
            <w:pPr>
              <w:spacing w:after="0"/>
              <w:jc w:val="both"/>
              <w:rPr>
                <w:lang w:val="en-US"/>
              </w:rPr>
            </w:pPr>
          </w:p>
        </w:tc>
      </w:tr>
      <w:tr w:rsidR="0053597A" w14:paraId="10DA0F8E" w14:textId="77777777" w:rsidTr="0053597A">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5E90628"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279DEB40" w14:textId="77777777" w:rsidR="0053597A" w:rsidRDefault="0053597A">
            <w:pPr>
              <w:spacing w:after="0"/>
              <w:jc w:val="both"/>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056AAFF" w14:textId="77777777" w:rsidR="0053597A" w:rsidRDefault="0053597A">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7EAF40B" w14:textId="77777777" w:rsidR="0053597A" w:rsidRDefault="0053597A">
            <w:pPr>
              <w:spacing w:after="0"/>
              <w:jc w:val="both"/>
              <w:rPr>
                <w:lang w:val="en-US"/>
              </w:rPr>
            </w:pPr>
            <w:r>
              <w:rPr>
                <w:lang w:val="en-US"/>
              </w:rPr>
              <w:t>Senior Engineer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BA12A22" w14:textId="77777777" w:rsidR="0053597A" w:rsidRDefault="0053597A">
            <w:pPr>
              <w:spacing w:after="0"/>
              <w:jc w:val="both"/>
              <w:rPr>
                <w:lang w:val="en-US"/>
              </w:rPr>
            </w:pPr>
          </w:p>
        </w:tc>
      </w:tr>
      <w:tr w:rsidR="0053597A" w14:paraId="2A5BE581" w14:textId="77777777" w:rsidTr="0053597A">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8936CB7"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ABE6FCF" w14:textId="77777777" w:rsidR="0053597A" w:rsidRDefault="0053597A">
            <w:pPr>
              <w:spacing w:after="0"/>
              <w:jc w:val="both"/>
              <w:rPr>
                <w:lang w:val="en-US"/>
              </w:rPr>
            </w:pPr>
            <w:r>
              <w:rPr>
                <w:lang w:val="en-US"/>
              </w:rPr>
              <w:t xml:space="preserve">Joyti </w:t>
            </w:r>
            <w:proofErr w:type="spellStart"/>
            <w:r>
              <w:rPr>
                <w:lang w:val="en-US"/>
              </w:rPr>
              <w:t>Bidare</w:t>
            </w:r>
            <w:proofErr w:type="spellEnd"/>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6D45568" w14:textId="77777777" w:rsidR="0053597A" w:rsidRDefault="0053597A">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3ADD3E43" w14:textId="77777777" w:rsidR="0053597A" w:rsidRDefault="0053597A">
            <w:pPr>
              <w:spacing w:after="0"/>
              <w:jc w:val="both"/>
              <w:rPr>
                <w:lang w:val="en-US"/>
              </w:rPr>
            </w:pPr>
            <w:r>
              <w:rPr>
                <w:lang w:val="en-US"/>
              </w:rPr>
              <w:t>CEO</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4AA751E" w14:textId="77777777" w:rsidR="0053597A" w:rsidRDefault="0053597A">
            <w:pPr>
              <w:spacing w:after="0"/>
              <w:jc w:val="both"/>
              <w:rPr>
                <w:lang w:val="en-US"/>
              </w:rPr>
            </w:pPr>
          </w:p>
        </w:tc>
      </w:tr>
    </w:tbl>
    <w:p w14:paraId="22804508" w14:textId="77777777" w:rsidR="0053597A" w:rsidRDefault="0053597A" w:rsidP="0053597A">
      <w:pPr>
        <w:pStyle w:val="TOC1"/>
        <w:jc w:val="both"/>
        <w:rPr>
          <w:lang w:val="en-US"/>
        </w:rPr>
      </w:pPr>
      <w:r>
        <w:rPr>
          <w:lang w:val="en-US"/>
        </w:rPr>
        <w:t>Amendment Record</w:t>
      </w:r>
    </w:p>
    <w:p w14:paraId="2DE4FC1B" w14:textId="77777777" w:rsidR="0053597A" w:rsidRDefault="0053597A" w:rsidP="0053597A">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53597A" w14:paraId="57C769D6" w14:textId="77777777" w:rsidTr="0053597A">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4A85420"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8B031EF"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A785D49"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69FB3F4" w14:textId="77777777" w:rsidR="0053597A" w:rsidRDefault="0053597A">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53597A" w14:paraId="1C31AF6C"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341A8D"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EB449A"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9B39652"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99AA17A" w14:textId="77777777" w:rsidR="0053597A" w:rsidRDefault="0053597A">
            <w:pPr>
              <w:spacing w:after="0"/>
              <w:jc w:val="both"/>
              <w:rPr>
                <w:lang w:val="en-US"/>
              </w:rPr>
            </w:pPr>
          </w:p>
        </w:tc>
      </w:tr>
      <w:tr w:rsidR="0053597A" w14:paraId="5DBB20A8"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9237D81"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928B57"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DF85B68"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D74D3F" w14:textId="77777777" w:rsidR="0053597A" w:rsidRDefault="0053597A">
            <w:pPr>
              <w:spacing w:after="0"/>
              <w:jc w:val="both"/>
              <w:rPr>
                <w:lang w:val="en-US"/>
              </w:rPr>
            </w:pPr>
          </w:p>
        </w:tc>
      </w:tr>
      <w:tr w:rsidR="0053597A" w14:paraId="7F3659DF"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E0C4C4"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E97715"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A8A3F69"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4AF96BB" w14:textId="77777777" w:rsidR="0053597A" w:rsidRDefault="0053597A">
            <w:pPr>
              <w:spacing w:after="0"/>
              <w:jc w:val="both"/>
              <w:rPr>
                <w:lang w:val="en-US"/>
              </w:rPr>
            </w:pPr>
          </w:p>
        </w:tc>
      </w:tr>
      <w:tr w:rsidR="0053597A" w14:paraId="63F53694"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322CD53"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92BD92B"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23735AA"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129BF2" w14:textId="77777777" w:rsidR="0053597A" w:rsidRDefault="0053597A">
            <w:pPr>
              <w:spacing w:after="0"/>
              <w:jc w:val="both"/>
              <w:rPr>
                <w:lang w:val="en-US"/>
              </w:rPr>
            </w:pPr>
          </w:p>
        </w:tc>
      </w:tr>
      <w:tr w:rsidR="0053597A" w14:paraId="16D14A33"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13BB749"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AF35E75"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57BA0C5"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2D37F8E" w14:textId="77777777" w:rsidR="0053597A" w:rsidRDefault="0053597A">
            <w:pPr>
              <w:spacing w:after="0"/>
              <w:jc w:val="both"/>
              <w:rPr>
                <w:lang w:val="en-US"/>
              </w:rPr>
            </w:pPr>
          </w:p>
        </w:tc>
      </w:tr>
      <w:tr w:rsidR="0053597A" w14:paraId="7DBD4D7D"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618314F"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28990A"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83D97E"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3B8DD6" w14:textId="77777777" w:rsidR="0053597A" w:rsidRDefault="0053597A">
            <w:pPr>
              <w:spacing w:after="0"/>
              <w:jc w:val="both"/>
              <w:rPr>
                <w:lang w:val="en-US"/>
              </w:rPr>
            </w:pPr>
          </w:p>
        </w:tc>
      </w:tr>
      <w:tr w:rsidR="0053597A" w14:paraId="52A2196F"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252B343"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B3FF1D"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4EB2FC"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B3530E8" w14:textId="77777777" w:rsidR="0053597A" w:rsidRDefault="0053597A">
            <w:pPr>
              <w:spacing w:after="0"/>
              <w:jc w:val="both"/>
              <w:rPr>
                <w:lang w:val="en-US"/>
              </w:rPr>
            </w:pPr>
          </w:p>
        </w:tc>
      </w:tr>
      <w:tr w:rsidR="0053597A" w14:paraId="0C254294"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FB69968"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27FBB5"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7F008D3"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8F57B9" w14:textId="77777777" w:rsidR="0053597A" w:rsidRDefault="0053597A">
            <w:pPr>
              <w:spacing w:after="0"/>
              <w:jc w:val="both"/>
              <w:rPr>
                <w:lang w:val="en-US"/>
              </w:rPr>
            </w:pPr>
          </w:p>
        </w:tc>
      </w:tr>
      <w:tr w:rsidR="0053597A" w14:paraId="45D7B9B8"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77F0AD"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058C635"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B8C349"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288DE2" w14:textId="77777777" w:rsidR="0053597A" w:rsidRDefault="0053597A">
            <w:pPr>
              <w:spacing w:after="0"/>
              <w:jc w:val="both"/>
              <w:rPr>
                <w:lang w:val="en-US"/>
              </w:rPr>
            </w:pPr>
          </w:p>
        </w:tc>
      </w:tr>
      <w:tr w:rsidR="0053597A" w14:paraId="0468FA37"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FFC9E89"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5AE4AF"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F03CB3D"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F98CFCE" w14:textId="77777777" w:rsidR="0053597A" w:rsidRDefault="0053597A">
            <w:pPr>
              <w:spacing w:after="0"/>
              <w:jc w:val="both"/>
              <w:rPr>
                <w:lang w:val="en-US"/>
              </w:rPr>
            </w:pPr>
          </w:p>
        </w:tc>
      </w:tr>
      <w:tr w:rsidR="0053597A" w14:paraId="79A5E403"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53C46E"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AA38F80"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C4C551"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AD28785" w14:textId="77777777" w:rsidR="0053597A" w:rsidRDefault="0053597A">
            <w:pPr>
              <w:spacing w:after="0"/>
              <w:jc w:val="both"/>
              <w:rPr>
                <w:lang w:val="en-US"/>
              </w:rPr>
            </w:pPr>
          </w:p>
        </w:tc>
      </w:tr>
      <w:tr w:rsidR="0053597A" w14:paraId="03955915" w14:textId="77777777" w:rsidTr="0053597A">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C293A1A" w14:textId="77777777" w:rsidR="0053597A" w:rsidRDefault="0053597A">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4A6F0C2" w14:textId="77777777" w:rsidR="0053597A" w:rsidRDefault="0053597A">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6EF8F4" w14:textId="77777777" w:rsidR="0053597A" w:rsidRDefault="0053597A">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3515E24" w14:textId="77777777" w:rsidR="0053597A" w:rsidRDefault="0053597A">
            <w:pPr>
              <w:spacing w:after="0"/>
              <w:jc w:val="both"/>
              <w:rPr>
                <w:lang w:val="en-US"/>
              </w:rPr>
            </w:pPr>
          </w:p>
        </w:tc>
      </w:tr>
    </w:tbl>
    <w:p w14:paraId="1387317B" w14:textId="77777777" w:rsidR="0053597A" w:rsidRDefault="0053597A" w:rsidP="0053597A">
      <w:pPr>
        <w:pStyle w:val="TOC1"/>
        <w:jc w:val="both"/>
      </w:pPr>
      <w:r>
        <w:t>Company Proprietary Information</w:t>
      </w:r>
    </w:p>
    <w:p w14:paraId="4481EDA9" w14:textId="77777777" w:rsidR="0053597A" w:rsidRDefault="0053597A" w:rsidP="0053597A">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53597A" w14:paraId="04293FE9" w14:textId="77777777" w:rsidTr="0053597A">
        <w:trPr>
          <w:trHeight w:val="362"/>
        </w:trPr>
        <w:tc>
          <w:tcPr>
            <w:tcW w:w="1843" w:type="dxa"/>
            <w:vAlign w:val="center"/>
            <w:hideMark/>
          </w:tcPr>
          <w:p w14:paraId="47874C27" w14:textId="77777777" w:rsidR="0053597A" w:rsidRDefault="0053597A">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670" w:type="dxa"/>
            <w:gridSpan w:val="5"/>
            <w:tcBorders>
              <w:top w:val="nil"/>
              <w:left w:val="nil"/>
              <w:bottom w:val="single" w:sz="4" w:space="0" w:color="BFBFBF" w:themeColor="background1" w:themeShade="BF"/>
              <w:right w:val="nil"/>
            </w:tcBorders>
            <w:vAlign w:val="center"/>
          </w:tcPr>
          <w:p w14:paraId="2C815341" w14:textId="77777777" w:rsidR="0053597A" w:rsidRDefault="0053597A">
            <w:pPr>
              <w:pStyle w:val="NoSpacing"/>
              <w:jc w:val="both"/>
              <w:rPr>
                <w:color w:val="auto"/>
                <w:sz w:val="18"/>
                <w:szCs w:val="18"/>
              </w:rPr>
            </w:pPr>
          </w:p>
        </w:tc>
        <w:tc>
          <w:tcPr>
            <w:tcW w:w="709" w:type="dxa"/>
            <w:vAlign w:val="center"/>
            <w:hideMark/>
          </w:tcPr>
          <w:p w14:paraId="7863AB58" w14:textId="77777777" w:rsidR="0053597A" w:rsidRDefault="0053597A">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417" w:type="dxa"/>
            <w:tcBorders>
              <w:top w:val="nil"/>
              <w:left w:val="nil"/>
              <w:bottom w:val="single" w:sz="4" w:space="0" w:color="BFBFBF" w:themeColor="background1" w:themeShade="BF"/>
              <w:right w:val="nil"/>
            </w:tcBorders>
            <w:vAlign w:val="center"/>
          </w:tcPr>
          <w:p w14:paraId="22B13ACB" w14:textId="77777777" w:rsidR="0053597A" w:rsidRDefault="0053597A">
            <w:pPr>
              <w:pStyle w:val="NoSpacing"/>
              <w:jc w:val="both"/>
              <w:rPr>
                <w:color w:val="auto"/>
                <w:sz w:val="18"/>
                <w:szCs w:val="18"/>
              </w:rPr>
            </w:pPr>
          </w:p>
        </w:tc>
      </w:tr>
      <w:tr w:rsidR="0053597A" w14:paraId="46574516" w14:textId="77777777" w:rsidTr="0053597A">
        <w:trPr>
          <w:trHeight w:val="92"/>
        </w:trPr>
        <w:tc>
          <w:tcPr>
            <w:tcW w:w="1843" w:type="dxa"/>
            <w:vAlign w:val="center"/>
          </w:tcPr>
          <w:p w14:paraId="3D859008" w14:textId="77777777" w:rsidR="0053597A" w:rsidRDefault="0053597A">
            <w:pPr>
              <w:pStyle w:val="NoSpacing"/>
              <w:jc w:val="both"/>
              <w:rPr>
                <w:rFonts w:ascii="Segoe UI" w:hAnsi="Segoe UI" w:cs="Segoe UI"/>
                <w:color w:val="auto"/>
                <w:sz w:val="16"/>
                <w:szCs w:val="18"/>
              </w:rPr>
            </w:pPr>
          </w:p>
        </w:tc>
        <w:tc>
          <w:tcPr>
            <w:tcW w:w="425" w:type="dxa"/>
            <w:tcBorders>
              <w:top w:val="single" w:sz="4" w:space="0" w:color="BFBFBF" w:themeColor="background1" w:themeShade="BF"/>
              <w:left w:val="nil"/>
              <w:bottom w:val="single" w:sz="4" w:space="0" w:color="BFBFBF" w:themeColor="background1" w:themeShade="BF"/>
              <w:right w:val="nil"/>
            </w:tcBorders>
            <w:vAlign w:val="center"/>
          </w:tcPr>
          <w:p w14:paraId="47F35A33" w14:textId="77777777" w:rsidR="0053597A" w:rsidRDefault="0053597A">
            <w:pPr>
              <w:pStyle w:val="NoSpacing"/>
              <w:jc w:val="both"/>
              <w:rPr>
                <w:color w:val="auto"/>
                <w:sz w:val="18"/>
                <w:szCs w:val="18"/>
              </w:rPr>
            </w:pPr>
          </w:p>
        </w:tc>
        <w:tc>
          <w:tcPr>
            <w:tcW w:w="5245" w:type="dxa"/>
            <w:gridSpan w:val="4"/>
            <w:tcBorders>
              <w:top w:val="single" w:sz="4" w:space="0" w:color="BFBFBF" w:themeColor="background1" w:themeShade="BF"/>
              <w:left w:val="nil"/>
              <w:bottom w:val="nil"/>
              <w:right w:val="nil"/>
            </w:tcBorders>
            <w:vAlign w:val="center"/>
          </w:tcPr>
          <w:p w14:paraId="5DD82174" w14:textId="77777777" w:rsidR="0053597A" w:rsidRDefault="0053597A">
            <w:pPr>
              <w:pStyle w:val="NoSpacing"/>
              <w:jc w:val="both"/>
              <w:rPr>
                <w:color w:val="auto"/>
                <w:sz w:val="18"/>
                <w:szCs w:val="18"/>
              </w:rPr>
            </w:pPr>
          </w:p>
        </w:tc>
        <w:tc>
          <w:tcPr>
            <w:tcW w:w="709" w:type="dxa"/>
            <w:vAlign w:val="center"/>
          </w:tcPr>
          <w:p w14:paraId="4788518E" w14:textId="77777777" w:rsidR="0053597A" w:rsidRDefault="0053597A">
            <w:pPr>
              <w:pStyle w:val="NoSpacing"/>
              <w:jc w:val="both"/>
              <w:rPr>
                <w:rFonts w:ascii="Segoe UI" w:hAnsi="Segoe UI" w:cs="Segoe UI"/>
                <w:color w:val="auto"/>
                <w:sz w:val="16"/>
                <w:szCs w:val="18"/>
              </w:rPr>
            </w:pPr>
          </w:p>
        </w:tc>
        <w:tc>
          <w:tcPr>
            <w:tcW w:w="1417" w:type="dxa"/>
            <w:tcBorders>
              <w:top w:val="single" w:sz="4" w:space="0" w:color="BFBFBF" w:themeColor="background1" w:themeShade="BF"/>
              <w:left w:val="nil"/>
              <w:bottom w:val="nil"/>
              <w:right w:val="nil"/>
            </w:tcBorders>
            <w:vAlign w:val="center"/>
          </w:tcPr>
          <w:p w14:paraId="53AD9C70" w14:textId="77777777" w:rsidR="0053597A" w:rsidRDefault="0053597A">
            <w:pPr>
              <w:pStyle w:val="NoSpacing"/>
              <w:jc w:val="both"/>
              <w:rPr>
                <w:color w:val="auto"/>
                <w:sz w:val="18"/>
                <w:szCs w:val="18"/>
              </w:rPr>
            </w:pPr>
          </w:p>
        </w:tc>
      </w:tr>
      <w:tr w:rsidR="0053597A" w14:paraId="1C0AB682" w14:textId="77777777" w:rsidTr="0053597A">
        <w:trPr>
          <w:trHeight w:val="334"/>
        </w:trPr>
        <w:tc>
          <w:tcPr>
            <w:tcW w:w="1843" w:type="dxa"/>
            <w:tcBorders>
              <w:top w:val="nil"/>
              <w:left w:val="nil"/>
              <w:bottom w:val="nil"/>
              <w:right w:val="single" w:sz="4" w:space="0" w:color="BFBFBF" w:themeColor="background1" w:themeShade="BF"/>
            </w:tcBorders>
            <w:vAlign w:val="center"/>
            <w:hideMark/>
          </w:tcPr>
          <w:p w14:paraId="1D023303" w14:textId="77777777" w:rsidR="0053597A" w:rsidRDefault="0053597A">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6BC1A5" w14:textId="77777777" w:rsidR="0053597A" w:rsidRDefault="0053597A">
            <w:pPr>
              <w:pStyle w:val="NoSpacing"/>
              <w:jc w:val="both"/>
              <w:rPr>
                <w:rFonts w:ascii="Wingdings 2" w:hAnsi="Wingdings 2"/>
                <w:color w:val="auto"/>
                <w:sz w:val="18"/>
                <w:szCs w:val="18"/>
              </w:rPr>
            </w:pPr>
            <w:r>
              <w:rPr>
                <w:rFonts w:ascii="Wingdings 2" w:hAnsi="Wingdings 2"/>
                <w:color w:val="auto"/>
                <w:sz w:val="18"/>
                <w:szCs w:val="18"/>
              </w:rPr>
              <w:t></w:t>
            </w:r>
          </w:p>
        </w:tc>
        <w:tc>
          <w:tcPr>
            <w:tcW w:w="1174" w:type="dxa"/>
            <w:tcBorders>
              <w:top w:val="nil"/>
              <w:left w:val="single" w:sz="4" w:space="0" w:color="BFBFBF" w:themeColor="background1" w:themeShade="BF"/>
              <w:bottom w:val="nil"/>
              <w:right w:val="nil"/>
            </w:tcBorders>
            <w:vAlign w:val="center"/>
          </w:tcPr>
          <w:p w14:paraId="58F0C2B0" w14:textId="77777777" w:rsidR="0053597A" w:rsidRDefault="0053597A">
            <w:pPr>
              <w:pStyle w:val="NoSpacing"/>
              <w:jc w:val="both"/>
              <w:rPr>
                <w:color w:val="auto"/>
                <w:sz w:val="18"/>
                <w:szCs w:val="18"/>
              </w:rPr>
            </w:pPr>
          </w:p>
        </w:tc>
        <w:tc>
          <w:tcPr>
            <w:tcW w:w="1557" w:type="dxa"/>
            <w:tcBorders>
              <w:top w:val="nil"/>
              <w:left w:val="nil"/>
              <w:bottom w:val="nil"/>
              <w:right w:val="single" w:sz="4" w:space="0" w:color="BFBFBF" w:themeColor="background1" w:themeShade="BF"/>
            </w:tcBorders>
            <w:vAlign w:val="center"/>
            <w:hideMark/>
          </w:tcPr>
          <w:p w14:paraId="2769BB92" w14:textId="77777777" w:rsidR="0053597A" w:rsidRDefault="0053597A">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4D9D84" w14:textId="77777777" w:rsidR="0053597A" w:rsidRDefault="0053597A">
            <w:pPr>
              <w:pStyle w:val="NoSpacing"/>
              <w:jc w:val="both"/>
              <w:rPr>
                <w:color w:val="auto"/>
                <w:sz w:val="18"/>
                <w:szCs w:val="18"/>
              </w:rPr>
            </w:pPr>
          </w:p>
        </w:tc>
        <w:tc>
          <w:tcPr>
            <w:tcW w:w="2126" w:type="dxa"/>
            <w:tcBorders>
              <w:top w:val="nil"/>
              <w:left w:val="single" w:sz="4" w:space="0" w:color="BFBFBF" w:themeColor="background1" w:themeShade="BF"/>
              <w:bottom w:val="nil"/>
              <w:right w:val="nil"/>
            </w:tcBorders>
            <w:vAlign w:val="center"/>
          </w:tcPr>
          <w:p w14:paraId="22A0A3C0" w14:textId="77777777" w:rsidR="0053597A" w:rsidRDefault="0053597A">
            <w:pPr>
              <w:pStyle w:val="NoSpacing"/>
              <w:jc w:val="both"/>
              <w:rPr>
                <w:color w:val="auto"/>
                <w:sz w:val="18"/>
                <w:szCs w:val="18"/>
              </w:rPr>
            </w:pPr>
          </w:p>
        </w:tc>
        <w:tc>
          <w:tcPr>
            <w:tcW w:w="709" w:type="dxa"/>
            <w:vAlign w:val="center"/>
            <w:hideMark/>
          </w:tcPr>
          <w:p w14:paraId="07B6CB94" w14:textId="77777777" w:rsidR="0053597A" w:rsidRDefault="0053597A">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417" w:type="dxa"/>
            <w:tcBorders>
              <w:top w:val="nil"/>
              <w:left w:val="nil"/>
              <w:bottom w:val="single" w:sz="4" w:space="0" w:color="BFBFBF" w:themeColor="background1" w:themeShade="BF"/>
              <w:right w:val="nil"/>
            </w:tcBorders>
            <w:vAlign w:val="center"/>
          </w:tcPr>
          <w:p w14:paraId="0AACA38B" w14:textId="77777777" w:rsidR="0053597A" w:rsidRDefault="0053597A">
            <w:pPr>
              <w:pStyle w:val="NoSpacing"/>
              <w:jc w:val="both"/>
              <w:rPr>
                <w:color w:val="auto"/>
                <w:sz w:val="18"/>
                <w:szCs w:val="18"/>
              </w:rPr>
            </w:pPr>
          </w:p>
        </w:tc>
      </w:tr>
      <w:bookmarkEnd w:id="0"/>
    </w:tbl>
    <w:p w14:paraId="620856BE" w14:textId="77777777" w:rsidR="0053597A" w:rsidRDefault="0053597A" w:rsidP="0053597A">
      <w:pPr>
        <w:jc w:val="both"/>
        <w:rPr>
          <w:rFonts w:ascii="Cambria" w:hAnsi="Cambria"/>
          <w:b/>
          <w:bCs/>
        </w:rPr>
      </w:pPr>
    </w:p>
    <w:p w14:paraId="03BFD969" w14:textId="127075AC" w:rsidR="004745F3" w:rsidRPr="00D1593A" w:rsidRDefault="0053597A" w:rsidP="004D56CD">
      <w:pPr>
        <w:jc w:val="center"/>
        <w:rPr>
          <w:b/>
          <w:bCs/>
        </w:rPr>
      </w:pPr>
      <w:r>
        <w:rPr>
          <w:rFonts w:ascii="Cambria" w:hAnsi="Cambria"/>
          <w:b/>
          <w:bCs/>
          <w:sz w:val="28"/>
          <w:szCs w:val="28"/>
        </w:rPr>
        <w:br w:type="page"/>
      </w:r>
      <w:r w:rsidR="004745F3" w:rsidRPr="00D1593A">
        <w:rPr>
          <w:b/>
          <w:bCs/>
        </w:rPr>
        <w:lastRenderedPageBreak/>
        <w:t>Fire Emergency Protocol</w:t>
      </w:r>
    </w:p>
    <w:p w14:paraId="7204569A" w14:textId="77777777" w:rsidR="004745F3" w:rsidRPr="00D1593A" w:rsidRDefault="004745F3" w:rsidP="004745F3">
      <w:r w:rsidRPr="00D1593A">
        <w:rPr>
          <w:b/>
          <w:bCs/>
        </w:rPr>
        <w:t>Manufacturing Made Easy Ltd</w:t>
      </w:r>
      <w:r w:rsidRPr="00D1593A">
        <w:br/>
      </w:r>
      <w:r w:rsidRPr="00D1593A">
        <w:rPr>
          <w:b/>
          <w:bCs/>
        </w:rPr>
        <w:t>Location:</w:t>
      </w:r>
      <w:r w:rsidRPr="00D1593A">
        <w:t xml:space="preserve"> S35 9TG, Sheffield, United Kingdom</w:t>
      </w:r>
    </w:p>
    <w:p w14:paraId="2B7B3A66" w14:textId="77777777" w:rsidR="004745F3" w:rsidRPr="00D1593A" w:rsidRDefault="004745F3" w:rsidP="004745F3">
      <w:pPr>
        <w:rPr>
          <w:b/>
          <w:bCs/>
        </w:rPr>
      </w:pPr>
      <w:r w:rsidRPr="00D1593A">
        <w:rPr>
          <w:b/>
          <w:bCs/>
        </w:rPr>
        <w:t>1. Purpose</w:t>
      </w:r>
    </w:p>
    <w:p w14:paraId="317C16A0" w14:textId="77777777" w:rsidR="004745F3" w:rsidRPr="00D1593A" w:rsidRDefault="004745F3" w:rsidP="004745F3">
      <w:r w:rsidRPr="00D1593A">
        <w:t>This protocol provides clear procedures for responding to a fire emergency to ensure the safety of all employees, visitors, and company assets.</w:t>
      </w:r>
    </w:p>
    <w:p w14:paraId="007CBB1D" w14:textId="77777777" w:rsidR="004745F3" w:rsidRPr="00D1593A" w:rsidRDefault="004745F3" w:rsidP="004745F3">
      <w:pPr>
        <w:rPr>
          <w:b/>
          <w:bCs/>
        </w:rPr>
      </w:pPr>
      <w:r w:rsidRPr="00D1593A">
        <w:rPr>
          <w:b/>
          <w:bCs/>
        </w:rPr>
        <w:t>2. Fire Prevention Measures</w:t>
      </w:r>
    </w:p>
    <w:p w14:paraId="4C2309D9" w14:textId="77777777" w:rsidR="004745F3" w:rsidRPr="00D1593A" w:rsidRDefault="004745F3" w:rsidP="004745F3">
      <w:pPr>
        <w:numPr>
          <w:ilvl w:val="0"/>
          <w:numId w:val="1"/>
        </w:numPr>
      </w:pPr>
      <w:r w:rsidRPr="00D1593A">
        <w:t>Fire alarms are installed and tested regularly.</w:t>
      </w:r>
    </w:p>
    <w:p w14:paraId="773D9A27" w14:textId="77777777" w:rsidR="004745F3" w:rsidRPr="00D1593A" w:rsidRDefault="004745F3" w:rsidP="004745F3">
      <w:pPr>
        <w:numPr>
          <w:ilvl w:val="0"/>
          <w:numId w:val="1"/>
        </w:numPr>
      </w:pPr>
      <w:r w:rsidRPr="00D1593A">
        <w:t>Fire extinguishers are placed at key locations and inspected periodically.</w:t>
      </w:r>
    </w:p>
    <w:p w14:paraId="114FCB0C" w14:textId="77777777" w:rsidR="004745F3" w:rsidRPr="00D1593A" w:rsidRDefault="004745F3" w:rsidP="004745F3">
      <w:pPr>
        <w:numPr>
          <w:ilvl w:val="0"/>
          <w:numId w:val="1"/>
        </w:numPr>
      </w:pPr>
      <w:r w:rsidRPr="00D1593A">
        <w:t>Fire exits and evacuation routes are clearly marked and unobstructed.</w:t>
      </w:r>
    </w:p>
    <w:p w14:paraId="3D2D4F05" w14:textId="77777777" w:rsidR="004745F3" w:rsidRPr="00D1593A" w:rsidRDefault="004745F3" w:rsidP="004745F3">
      <w:pPr>
        <w:numPr>
          <w:ilvl w:val="0"/>
          <w:numId w:val="1"/>
        </w:numPr>
      </w:pPr>
      <w:r w:rsidRPr="00D1593A">
        <w:t>Flammable materials are stored safely in designated areas.</w:t>
      </w:r>
    </w:p>
    <w:p w14:paraId="0E3D4D7C" w14:textId="77777777" w:rsidR="004745F3" w:rsidRPr="00D1593A" w:rsidRDefault="004745F3" w:rsidP="004745F3">
      <w:pPr>
        <w:numPr>
          <w:ilvl w:val="0"/>
          <w:numId w:val="1"/>
        </w:numPr>
      </w:pPr>
      <w:r w:rsidRPr="00D1593A">
        <w:t>Electrical equipment is regularly checked to prevent fire hazards.</w:t>
      </w:r>
    </w:p>
    <w:p w14:paraId="60D23947" w14:textId="77777777" w:rsidR="004745F3" w:rsidRPr="00D1593A" w:rsidRDefault="004745F3" w:rsidP="004745F3">
      <w:pPr>
        <w:numPr>
          <w:ilvl w:val="0"/>
          <w:numId w:val="1"/>
        </w:numPr>
      </w:pPr>
      <w:r w:rsidRPr="00D1593A">
        <w:t>Employees receive basic fire safety awareness training, including fire extinguisher usage.</w:t>
      </w:r>
    </w:p>
    <w:p w14:paraId="7BEC5193" w14:textId="77777777" w:rsidR="004745F3" w:rsidRPr="00D1593A" w:rsidRDefault="004745F3" w:rsidP="004745F3">
      <w:pPr>
        <w:rPr>
          <w:b/>
          <w:bCs/>
        </w:rPr>
      </w:pPr>
      <w:r w:rsidRPr="00D1593A">
        <w:rPr>
          <w:b/>
          <w:bCs/>
        </w:rPr>
        <w:t>3. Emergency Response Procedure</w:t>
      </w:r>
    </w:p>
    <w:p w14:paraId="34026D1D" w14:textId="77777777" w:rsidR="004745F3" w:rsidRPr="00D1593A" w:rsidRDefault="004745F3" w:rsidP="004745F3">
      <w:pPr>
        <w:rPr>
          <w:b/>
          <w:bCs/>
        </w:rPr>
      </w:pPr>
      <w:r w:rsidRPr="00D1593A">
        <w:rPr>
          <w:b/>
          <w:bCs/>
        </w:rPr>
        <w:t>3.1 If You Discover a Fire</w:t>
      </w:r>
    </w:p>
    <w:p w14:paraId="5C20BCFD" w14:textId="77777777" w:rsidR="004745F3" w:rsidRPr="00D1593A" w:rsidRDefault="004745F3" w:rsidP="004745F3">
      <w:pPr>
        <w:numPr>
          <w:ilvl w:val="0"/>
          <w:numId w:val="2"/>
        </w:numPr>
      </w:pPr>
      <w:r w:rsidRPr="00D1593A">
        <w:rPr>
          <w:b/>
          <w:bCs/>
        </w:rPr>
        <w:t>Raise the Alarm</w:t>
      </w:r>
      <w:r w:rsidRPr="00D1593A">
        <w:t xml:space="preserve"> – Activate the nearest fire alarm or alert others verbally.</w:t>
      </w:r>
    </w:p>
    <w:p w14:paraId="6EFF0C60" w14:textId="77777777" w:rsidR="004745F3" w:rsidRPr="00D1593A" w:rsidRDefault="004745F3" w:rsidP="004745F3">
      <w:pPr>
        <w:numPr>
          <w:ilvl w:val="0"/>
          <w:numId w:val="2"/>
        </w:numPr>
      </w:pPr>
      <w:r w:rsidRPr="00D1593A">
        <w:rPr>
          <w:b/>
          <w:bCs/>
        </w:rPr>
        <w:t>Call Emergency Services</w:t>
      </w:r>
      <w:r w:rsidRPr="00D1593A">
        <w:t xml:space="preserve"> – Dial </w:t>
      </w:r>
      <w:r w:rsidRPr="00D1593A">
        <w:rPr>
          <w:b/>
          <w:bCs/>
        </w:rPr>
        <w:t>999</w:t>
      </w:r>
      <w:r w:rsidRPr="00D1593A">
        <w:t xml:space="preserve"> and provide: </w:t>
      </w:r>
    </w:p>
    <w:p w14:paraId="498AB03E" w14:textId="77777777" w:rsidR="004745F3" w:rsidRPr="00D1593A" w:rsidRDefault="004745F3" w:rsidP="004745F3">
      <w:pPr>
        <w:numPr>
          <w:ilvl w:val="1"/>
          <w:numId w:val="2"/>
        </w:numPr>
      </w:pPr>
      <w:r w:rsidRPr="00D1593A">
        <w:t xml:space="preserve">Location: </w:t>
      </w:r>
      <w:r w:rsidRPr="00D1593A">
        <w:rPr>
          <w:b/>
          <w:bCs/>
        </w:rPr>
        <w:t>Manufacturing Made Easy Ltd, S35 9TG, Sheffield</w:t>
      </w:r>
    </w:p>
    <w:p w14:paraId="68980D9E" w14:textId="77777777" w:rsidR="004745F3" w:rsidRPr="00D1593A" w:rsidRDefault="004745F3" w:rsidP="004745F3">
      <w:pPr>
        <w:numPr>
          <w:ilvl w:val="1"/>
          <w:numId w:val="2"/>
        </w:numPr>
      </w:pPr>
      <w:r w:rsidRPr="00D1593A">
        <w:t>Type and location of the fire</w:t>
      </w:r>
    </w:p>
    <w:p w14:paraId="2C4F5119" w14:textId="77777777" w:rsidR="004745F3" w:rsidRPr="00D1593A" w:rsidRDefault="004745F3" w:rsidP="004745F3">
      <w:pPr>
        <w:numPr>
          <w:ilvl w:val="1"/>
          <w:numId w:val="2"/>
        </w:numPr>
      </w:pPr>
      <w:r w:rsidRPr="00D1593A">
        <w:t>Any people trapped or at risk</w:t>
      </w:r>
    </w:p>
    <w:p w14:paraId="79E6F8BB" w14:textId="77777777" w:rsidR="004745F3" w:rsidRPr="00D1593A" w:rsidRDefault="004745F3" w:rsidP="004745F3">
      <w:pPr>
        <w:numPr>
          <w:ilvl w:val="0"/>
          <w:numId w:val="2"/>
        </w:numPr>
      </w:pPr>
      <w:r w:rsidRPr="00D1593A">
        <w:rPr>
          <w:b/>
          <w:bCs/>
        </w:rPr>
        <w:t>Attempt to Extinguish (if safe)</w:t>
      </w:r>
      <w:r w:rsidRPr="00D1593A">
        <w:t xml:space="preserve"> – Use a fire extinguisher only if: </w:t>
      </w:r>
    </w:p>
    <w:p w14:paraId="2CE1172B" w14:textId="77777777" w:rsidR="004745F3" w:rsidRPr="00D1593A" w:rsidRDefault="004745F3" w:rsidP="004745F3">
      <w:pPr>
        <w:numPr>
          <w:ilvl w:val="1"/>
          <w:numId w:val="2"/>
        </w:numPr>
      </w:pPr>
      <w:r w:rsidRPr="00D1593A">
        <w:t>The fire is small and controllable</w:t>
      </w:r>
    </w:p>
    <w:p w14:paraId="5242A290" w14:textId="77777777" w:rsidR="004745F3" w:rsidRPr="00D1593A" w:rsidRDefault="004745F3" w:rsidP="004745F3">
      <w:pPr>
        <w:numPr>
          <w:ilvl w:val="1"/>
          <w:numId w:val="2"/>
        </w:numPr>
      </w:pPr>
      <w:r w:rsidRPr="00D1593A">
        <w:t>You have been trained to use the extinguisher</w:t>
      </w:r>
    </w:p>
    <w:p w14:paraId="61635543" w14:textId="77777777" w:rsidR="004745F3" w:rsidRPr="00D1593A" w:rsidRDefault="004745F3" w:rsidP="004745F3">
      <w:pPr>
        <w:numPr>
          <w:ilvl w:val="1"/>
          <w:numId w:val="2"/>
        </w:numPr>
      </w:pPr>
      <w:r w:rsidRPr="00D1593A">
        <w:t>You have a clear exit</w:t>
      </w:r>
    </w:p>
    <w:p w14:paraId="3ACADB35" w14:textId="77777777" w:rsidR="004745F3" w:rsidRPr="00D1593A" w:rsidRDefault="004745F3" w:rsidP="004745F3">
      <w:pPr>
        <w:rPr>
          <w:b/>
          <w:bCs/>
        </w:rPr>
      </w:pPr>
      <w:r w:rsidRPr="00D1593A">
        <w:rPr>
          <w:b/>
          <w:bCs/>
        </w:rPr>
        <w:t>3.2 Evacuation Procedure</w:t>
      </w:r>
    </w:p>
    <w:p w14:paraId="1348615D" w14:textId="77777777" w:rsidR="004745F3" w:rsidRPr="00D1593A" w:rsidRDefault="004745F3" w:rsidP="004745F3">
      <w:pPr>
        <w:numPr>
          <w:ilvl w:val="0"/>
          <w:numId w:val="3"/>
        </w:numPr>
      </w:pPr>
      <w:r w:rsidRPr="00D1593A">
        <w:rPr>
          <w:b/>
          <w:bCs/>
        </w:rPr>
        <w:t>Stop All Work</w:t>
      </w:r>
      <w:r w:rsidRPr="00D1593A">
        <w:t xml:space="preserve"> – Leave all tools and equipment as they are.</w:t>
      </w:r>
    </w:p>
    <w:p w14:paraId="5ACBEFD8" w14:textId="77777777" w:rsidR="004745F3" w:rsidRPr="00D1593A" w:rsidRDefault="004745F3" w:rsidP="004745F3">
      <w:pPr>
        <w:numPr>
          <w:ilvl w:val="0"/>
          <w:numId w:val="3"/>
        </w:numPr>
      </w:pPr>
      <w:r w:rsidRPr="00D1593A">
        <w:rPr>
          <w:b/>
          <w:bCs/>
        </w:rPr>
        <w:lastRenderedPageBreak/>
        <w:t>Follow the Evacuation Route</w:t>
      </w:r>
      <w:r w:rsidRPr="00D1593A">
        <w:t xml:space="preserve"> – Move calmly to the nearest fire exit. Do not use lifts.</w:t>
      </w:r>
    </w:p>
    <w:p w14:paraId="5CBD211C" w14:textId="77777777" w:rsidR="004745F3" w:rsidRPr="00D1593A" w:rsidRDefault="004745F3" w:rsidP="004745F3">
      <w:pPr>
        <w:numPr>
          <w:ilvl w:val="0"/>
          <w:numId w:val="3"/>
        </w:numPr>
      </w:pPr>
      <w:r w:rsidRPr="00D1593A">
        <w:rPr>
          <w:b/>
          <w:bCs/>
        </w:rPr>
        <w:t>Assemble at the Fire Assembly Point</w:t>
      </w:r>
      <w:r w:rsidRPr="00D1593A">
        <w:t xml:space="preserve"> – </w:t>
      </w:r>
      <w:r w:rsidRPr="00D1593A">
        <w:rPr>
          <w:b/>
          <w:bCs/>
        </w:rPr>
        <w:t>Company car park (fire assembly point).</w:t>
      </w:r>
    </w:p>
    <w:p w14:paraId="5EAC21BC" w14:textId="7E9A4339" w:rsidR="004745F3" w:rsidRPr="00D1593A" w:rsidRDefault="004745F3" w:rsidP="004745F3">
      <w:pPr>
        <w:numPr>
          <w:ilvl w:val="0"/>
          <w:numId w:val="3"/>
        </w:numPr>
      </w:pPr>
      <w:r w:rsidRPr="00D1593A">
        <w:rPr>
          <w:b/>
          <w:bCs/>
        </w:rPr>
        <w:t>Roll Call &amp; Headcount</w:t>
      </w:r>
      <w:r w:rsidRPr="00D1593A">
        <w:t xml:space="preserve"> – The </w:t>
      </w:r>
      <w:r w:rsidRPr="00D1593A">
        <w:rPr>
          <w:b/>
          <w:bCs/>
        </w:rPr>
        <w:t xml:space="preserve">Quality </w:t>
      </w:r>
      <w:r w:rsidR="00E17075">
        <w:rPr>
          <w:b/>
          <w:bCs/>
        </w:rPr>
        <w:t>Manager</w:t>
      </w:r>
      <w:r w:rsidRPr="00D1593A">
        <w:rPr>
          <w:b/>
          <w:bCs/>
        </w:rPr>
        <w:t xml:space="preserve"> and Senior Engineer</w:t>
      </w:r>
      <w:r w:rsidRPr="00D1593A">
        <w:t xml:space="preserve"> will check attendance.</w:t>
      </w:r>
    </w:p>
    <w:p w14:paraId="0C971F16" w14:textId="724DD705" w:rsidR="004745F3" w:rsidRPr="00D1593A" w:rsidRDefault="004745F3" w:rsidP="004745F3">
      <w:pPr>
        <w:numPr>
          <w:ilvl w:val="0"/>
          <w:numId w:val="3"/>
        </w:numPr>
      </w:pPr>
      <w:r w:rsidRPr="00D1593A">
        <w:rPr>
          <w:b/>
          <w:bCs/>
        </w:rPr>
        <w:t>Report Missing Persons</w:t>
      </w:r>
      <w:r w:rsidRPr="00D1593A">
        <w:t xml:space="preserve"> – Inform the Quality </w:t>
      </w:r>
      <w:r w:rsidR="00E17075">
        <w:t>M</w:t>
      </w:r>
      <w:r w:rsidR="000A44B5">
        <w:t>a</w:t>
      </w:r>
      <w:r w:rsidR="00E17075">
        <w:t>nager</w:t>
      </w:r>
      <w:r w:rsidRPr="00D1593A">
        <w:t xml:space="preserve"> or Senior Engineer of anyone unaccounted for.</w:t>
      </w:r>
    </w:p>
    <w:p w14:paraId="1C905727" w14:textId="2A0D84E3" w:rsidR="004745F3" w:rsidRPr="00D1593A" w:rsidRDefault="004745F3" w:rsidP="004745F3">
      <w:pPr>
        <w:numPr>
          <w:ilvl w:val="0"/>
          <w:numId w:val="3"/>
        </w:numPr>
      </w:pPr>
      <w:r w:rsidRPr="00D1593A">
        <w:rPr>
          <w:b/>
          <w:bCs/>
        </w:rPr>
        <w:t>Wait for Clearance</w:t>
      </w:r>
      <w:r w:rsidRPr="00D1593A">
        <w:t xml:space="preserve"> – Do not re-enter the building until emergency services confirm it is safe.</w:t>
      </w:r>
    </w:p>
    <w:p w14:paraId="686C2392" w14:textId="2144E4E2" w:rsidR="004745F3" w:rsidRPr="00D1593A" w:rsidRDefault="004745F3" w:rsidP="004745F3">
      <w:pPr>
        <w:rPr>
          <w:b/>
          <w:bCs/>
        </w:rPr>
      </w:pPr>
      <w:r w:rsidRPr="00D1593A">
        <w:rPr>
          <w:b/>
          <w:bCs/>
        </w:rPr>
        <w:t xml:space="preserve">4. Responsibilities of the Quality </w:t>
      </w:r>
      <w:r w:rsidR="000A44B5">
        <w:rPr>
          <w:b/>
          <w:bCs/>
        </w:rPr>
        <w:t>Manager</w:t>
      </w:r>
      <w:r w:rsidRPr="00D1593A">
        <w:rPr>
          <w:b/>
          <w:bCs/>
        </w:rPr>
        <w:t xml:space="preserve"> &amp; Senior Engineer</w:t>
      </w:r>
    </w:p>
    <w:p w14:paraId="179D7EEB" w14:textId="06641040" w:rsidR="004745F3" w:rsidRPr="00D1593A" w:rsidRDefault="004745F3" w:rsidP="004745F3">
      <w:r w:rsidRPr="00D1593A">
        <w:t xml:space="preserve">Since there is no certified Fire Marshal, the </w:t>
      </w:r>
      <w:r w:rsidRPr="00D1593A">
        <w:rPr>
          <w:b/>
          <w:bCs/>
        </w:rPr>
        <w:t xml:space="preserve">Quality </w:t>
      </w:r>
      <w:r w:rsidR="00F70384">
        <w:rPr>
          <w:b/>
          <w:bCs/>
        </w:rPr>
        <w:t>Manager</w:t>
      </w:r>
      <w:r w:rsidRPr="00D1593A">
        <w:rPr>
          <w:b/>
          <w:bCs/>
        </w:rPr>
        <w:t xml:space="preserve"> and Senior Engineer</w:t>
      </w:r>
      <w:r w:rsidRPr="00D1593A">
        <w:t xml:space="preserve"> will handle fire safety responsibilities:</w:t>
      </w:r>
    </w:p>
    <w:p w14:paraId="101ABFE9" w14:textId="77777777" w:rsidR="004745F3" w:rsidRPr="00D1593A" w:rsidRDefault="004745F3" w:rsidP="004745F3">
      <w:pPr>
        <w:numPr>
          <w:ilvl w:val="0"/>
          <w:numId w:val="4"/>
        </w:numPr>
      </w:pPr>
      <w:r w:rsidRPr="00D1593A">
        <w:t>Assisting employees and visitors during evacuation.</w:t>
      </w:r>
    </w:p>
    <w:p w14:paraId="6D410C82" w14:textId="77777777" w:rsidR="004745F3" w:rsidRPr="00D1593A" w:rsidRDefault="004745F3" w:rsidP="004745F3">
      <w:pPr>
        <w:numPr>
          <w:ilvl w:val="0"/>
          <w:numId w:val="4"/>
        </w:numPr>
      </w:pPr>
      <w:r w:rsidRPr="00D1593A">
        <w:t>Checking restrooms, offices, and work areas for any remaining persons.</w:t>
      </w:r>
    </w:p>
    <w:p w14:paraId="7389C046" w14:textId="77777777" w:rsidR="004745F3" w:rsidRPr="00D1593A" w:rsidRDefault="004745F3" w:rsidP="004745F3">
      <w:pPr>
        <w:numPr>
          <w:ilvl w:val="0"/>
          <w:numId w:val="4"/>
        </w:numPr>
      </w:pPr>
      <w:r w:rsidRPr="00D1593A">
        <w:t>Closing doors behind them to slow fire spread.</w:t>
      </w:r>
    </w:p>
    <w:p w14:paraId="06A230C0" w14:textId="77777777" w:rsidR="004745F3" w:rsidRPr="00D1593A" w:rsidRDefault="004745F3" w:rsidP="004745F3">
      <w:pPr>
        <w:numPr>
          <w:ilvl w:val="0"/>
          <w:numId w:val="4"/>
        </w:numPr>
      </w:pPr>
      <w:r w:rsidRPr="00D1593A">
        <w:t>Conducting headcounts at the fire assembly point.</w:t>
      </w:r>
    </w:p>
    <w:p w14:paraId="1734D7D8" w14:textId="77777777" w:rsidR="004745F3" w:rsidRPr="00D1593A" w:rsidRDefault="004745F3" w:rsidP="004745F3">
      <w:pPr>
        <w:numPr>
          <w:ilvl w:val="0"/>
          <w:numId w:val="4"/>
        </w:numPr>
      </w:pPr>
      <w:r w:rsidRPr="00D1593A">
        <w:t>Communicating with emergency responders.</w:t>
      </w:r>
    </w:p>
    <w:p w14:paraId="614945BE" w14:textId="77777777" w:rsidR="004745F3" w:rsidRPr="00D1593A" w:rsidRDefault="004745F3" w:rsidP="004745F3">
      <w:pPr>
        <w:rPr>
          <w:b/>
          <w:bCs/>
        </w:rPr>
      </w:pPr>
      <w:r w:rsidRPr="00D1593A">
        <w:rPr>
          <w:b/>
          <w:bCs/>
        </w:rPr>
        <w:t>5. Post-Fire Recovery</w:t>
      </w:r>
    </w:p>
    <w:p w14:paraId="530586C7" w14:textId="77777777" w:rsidR="004745F3" w:rsidRPr="00D1593A" w:rsidRDefault="004745F3" w:rsidP="004745F3">
      <w:pPr>
        <w:numPr>
          <w:ilvl w:val="0"/>
          <w:numId w:val="5"/>
        </w:numPr>
      </w:pPr>
      <w:r w:rsidRPr="00D1593A">
        <w:rPr>
          <w:b/>
          <w:bCs/>
        </w:rPr>
        <w:t>Damage Assessment</w:t>
      </w:r>
      <w:r w:rsidRPr="00D1593A">
        <w:t xml:space="preserve"> – The </w:t>
      </w:r>
      <w:r w:rsidRPr="00D1593A">
        <w:rPr>
          <w:b/>
          <w:bCs/>
        </w:rPr>
        <w:t>Senior Engineer</w:t>
      </w:r>
      <w:r w:rsidRPr="00D1593A">
        <w:t xml:space="preserve"> will assess structural damage alongside emergency responders.</w:t>
      </w:r>
    </w:p>
    <w:p w14:paraId="16106AB2" w14:textId="77777777" w:rsidR="004745F3" w:rsidRPr="00D1593A" w:rsidRDefault="004745F3" w:rsidP="004745F3">
      <w:pPr>
        <w:numPr>
          <w:ilvl w:val="0"/>
          <w:numId w:val="5"/>
        </w:numPr>
      </w:pPr>
      <w:r w:rsidRPr="00D1593A">
        <w:rPr>
          <w:b/>
          <w:bCs/>
        </w:rPr>
        <w:t>Insurance Claim Process</w:t>
      </w:r>
      <w:r w:rsidRPr="00D1593A">
        <w:t xml:space="preserve"> – The company’s insurance provider will be contacted.</w:t>
      </w:r>
    </w:p>
    <w:p w14:paraId="0ED9DF72" w14:textId="77777777" w:rsidR="004745F3" w:rsidRPr="00D1593A" w:rsidRDefault="004745F3" w:rsidP="004745F3">
      <w:pPr>
        <w:numPr>
          <w:ilvl w:val="0"/>
          <w:numId w:val="5"/>
        </w:numPr>
      </w:pPr>
      <w:r w:rsidRPr="00D1593A">
        <w:rPr>
          <w:b/>
          <w:bCs/>
        </w:rPr>
        <w:t>Data Recovery</w:t>
      </w:r>
      <w:r w:rsidRPr="00D1593A">
        <w:t xml:space="preserve"> – As all company data is backed up on OneDrive, files can be restored.</w:t>
      </w:r>
    </w:p>
    <w:p w14:paraId="575DD568" w14:textId="77777777" w:rsidR="004745F3" w:rsidRPr="00D1593A" w:rsidRDefault="004745F3" w:rsidP="004745F3">
      <w:pPr>
        <w:numPr>
          <w:ilvl w:val="0"/>
          <w:numId w:val="5"/>
        </w:numPr>
      </w:pPr>
      <w:r w:rsidRPr="00D1593A">
        <w:rPr>
          <w:b/>
          <w:bCs/>
        </w:rPr>
        <w:t>Return to Work Plan</w:t>
      </w:r>
      <w:r w:rsidRPr="00D1593A">
        <w:t xml:space="preserve"> – If the facility is damaged, the </w:t>
      </w:r>
      <w:r w:rsidRPr="00D1593A">
        <w:rPr>
          <w:b/>
          <w:bCs/>
        </w:rPr>
        <w:t>Senior Engineer and CEO</w:t>
      </w:r>
      <w:r w:rsidRPr="00D1593A">
        <w:t xml:space="preserve"> will determine next steps, including temporary remote working.</w:t>
      </w:r>
    </w:p>
    <w:p w14:paraId="45D0CB13" w14:textId="77777777" w:rsidR="004745F3" w:rsidRPr="00D1593A" w:rsidRDefault="004745F3" w:rsidP="004745F3">
      <w:pPr>
        <w:rPr>
          <w:b/>
          <w:bCs/>
        </w:rPr>
      </w:pPr>
      <w:r w:rsidRPr="00D1593A">
        <w:rPr>
          <w:b/>
          <w:bCs/>
        </w:rPr>
        <w:t>6. Fire Drills &amp; Training</w:t>
      </w:r>
    </w:p>
    <w:p w14:paraId="760B7F00" w14:textId="77777777" w:rsidR="004745F3" w:rsidRPr="00D1593A" w:rsidRDefault="004745F3" w:rsidP="004745F3">
      <w:pPr>
        <w:numPr>
          <w:ilvl w:val="0"/>
          <w:numId w:val="6"/>
        </w:numPr>
      </w:pPr>
      <w:r w:rsidRPr="00D1593A">
        <w:t xml:space="preserve">Fire drills will be conducted </w:t>
      </w:r>
      <w:r w:rsidRPr="00D1593A">
        <w:rPr>
          <w:b/>
          <w:bCs/>
        </w:rPr>
        <w:t>twice a year</w:t>
      </w:r>
      <w:r w:rsidRPr="00D1593A">
        <w:t xml:space="preserve"> to ensure all employees are prepared.</w:t>
      </w:r>
    </w:p>
    <w:p w14:paraId="321420CE" w14:textId="2360FDFC" w:rsidR="004745F3" w:rsidRPr="00D1593A" w:rsidRDefault="004745F3" w:rsidP="004745F3">
      <w:pPr>
        <w:numPr>
          <w:ilvl w:val="0"/>
          <w:numId w:val="6"/>
        </w:numPr>
      </w:pPr>
      <w:r w:rsidRPr="00D1593A">
        <w:t xml:space="preserve">The </w:t>
      </w:r>
      <w:r w:rsidRPr="00D1593A">
        <w:rPr>
          <w:b/>
          <w:bCs/>
        </w:rPr>
        <w:t xml:space="preserve">Quality </w:t>
      </w:r>
      <w:r w:rsidR="001114DE">
        <w:rPr>
          <w:b/>
          <w:bCs/>
        </w:rPr>
        <w:t>Manager</w:t>
      </w:r>
      <w:r w:rsidRPr="00D1593A">
        <w:t xml:space="preserve"> will provide annual fire safety awareness training.</w:t>
      </w:r>
    </w:p>
    <w:p w14:paraId="493B57C7" w14:textId="77777777" w:rsidR="004745F3" w:rsidRPr="00D1593A" w:rsidRDefault="004745F3" w:rsidP="004745F3">
      <w:pPr>
        <w:rPr>
          <w:b/>
          <w:bCs/>
        </w:rPr>
      </w:pPr>
      <w:r w:rsidRPr="00D1593A">
        <w:rPr>
          <w:b/>
          <w:bCs/>
        </w:rPr>
        <w:lastRenderedPageBreak/>
        <w:t>7. Contact Information</w:t>
      </w:r>
    </w:p>
    <w:p w14:paraId="04A33813" w14:textId="77777777" w:rsidR="004745F3" w:rsidRPr="00D1593A" w:rsidRDefault="004745F3" w:rsidP="004745F3">
      <w:pPr>
        <w:numPr>
          <w:ilvl w:val="0"/>
          <w:numId w:val="7"/>
        </w:numPr>
      </w:pPr>
      <w:r w:rsidRPr="00D1593A">
        <w:rPr>
          <w:b/>
          <w:bCs/>
        </w:rPr>
        <w:t>Emergency Services:</w:t>
      </w:r>
      <w:r w:rsidRPr="00D1593A">
        <w:t xml:space="preserve"> </w:t>
      </w:r>
      <w:r w:rsidRPr="00D1593A">
        <w:rPr>
          <w:b/>
          <w:bCs/>
        </w:rPr>
        <w:t>999</w:t>
      </w:r>
    </w:p>
    <w:p w14:paraId="04AAEF06" w14:textId="5B83D6D9" w:rsidR="004745F3" w:rsidRPr="00D1593A" w:rsidRDefault="004745F3" w:rsidP="004745F3">
      <w:pPr>
        <w:numPr>
          <w:ilvl w:val="0"/>
          <w:numId w:val="7"/>
        </w:numPr>
      </w:pPr>
      <w:r w:rsidRPr="00D1593A">
        <w:rPr>
          <w:b/>
          <w:bCs/>
        </w:rPr>
        <w:t>Quality Engineer:</w:t>
      </w:r>
      <w:r w:rsidRPr="00D1593A">
        <w:t xml:space="preserve"> Dhairyasheel Ashok Mulik Patil</w:t>
      </w:r>
    </w:p>
    <w:p w14:paraId="2CA05C8C" w14:textId="1DF89570" w:rsidR="004745F3" w:rsidRPr="00D1593A" w:rsidRDefault="004745F3" w:rsidP="004745F3">
      <w:pPr>
        <w:numPr>
          <w:ilvl w:val="0"/>
          <w:numId w:val="7"/>
        </w:numPr>
      </w:pPr>
      <w:r w:rsidRPr="00D1593A">
        <w:rPr>
          <w:b/>
          <w:bCs/>
        </w:rPr>
        <w:t>Senior Engineer:</w:t>
      </w:r>
      <w:r w:rsidRPr="00D1593A">
        <w:t xml:space="preserve"> Dr Prveen Bidare</w:t>
      </w:r>
    </w:p>
    <w:p w14:paraId="1F0B3683" w14:textId="017E57B7" w:rsidR="004745F3" w:rsidRPr="00D1593A" w:rsidRDefault="004745F3" w:rsidP="004745F3">
      <w:pPr>
        <w:numPr>
          <w:ilvl w:val="0"/>
          <w:numId w:val="7"/>
        </w:numPr>
      </w:pPr>
      <w:r w:rsidRPr="00D1593A">
        <w:rPr>
          <w:b/>
          <w:bCs/>
        </w:rPr>
        <w:t>CEO:</w:t>
      </w:r>
      <w:r w:rsidRPr="00D1593A">
        <w:t xml:space="preserve"> Joyti Bidare </w:t>
      </w:r>
    </w:p>
    <w:p w14:paraId="3630B80C" w14:textId="77777777" w:rsidR="00400396" w:rsidRPr="004745F3" w:rsidRDefault="00400396">
      <w:pPr>
        <w:rPr>
          <w:rFonts w:ascii="Cambria" w:hAnsi="Cambria"/>
          <w:sz w:val="20"/>
          <w:szCs w:val="20"/>
        </w:rPr>
      </w:pPr>
    </w:p>
    <w:sectPr w:rsidR="00400396" w:rsidRPr="004745F3" w:rsidSect="004D56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7B52" w14:textId="77777777" w:rsidR="00F160C0" w:rsidRDefault="00F160C0" w:rsidP="004745F3">
      <w:pPr>
        <w:spacing w:after="0" w:line="240" w:lineRule="auto"/>
      </w:pPr>
      <w:r>
        <w:separator/>
      </w:r>
    </w:p>
  </w:endnote>
  <w:endnote w:type="continuationSeparator" w:id="0">
    <w:p w14:paraId="0492A3CB" w14:textId="77777777" w:rsidR="00F160C0" w:rsidRDefault="00F160C0" w:rsidP="0047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3AA6B" w14:textId="77777777" w:rsidR="00F160C0" w:rsidRDefault="00F160C0" w:rsidP="004745F3">
      <w:pPr>
        <w:spacing w:after="0" w:line="240" w:lineRule="auto"/>
      </w:pPr>
      <w:r>
        <w:separator/>
      </w:r>
    </w:p>
  </w:footnote>
  <w:footnote w:type="continuationSeparator" w:id="0">
    <w:p w14:paraId="2FD1D839" w14:textId="77777777" w:rsidR="00F160C0" w:rsidRDefault="00F160C0" w:rsidP="00474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9A375A" w:rsidRPr="00E119F4" w14:paraId="1591696E" w14:textId="77777777" w:rsidTr="004D56CD">
      <w:trPr>
        <w:trHeight w:hRule="exact" w:val="498"/>
      </w:trPr>
      <w:tc>
        <w:tcPr>
          <w:tcW w:w="3628" w:type="dxa"/>
          <w:vMerge w:val="restart"/>
          <w:vAlign w:val="center"/>
        </w:tcPr>
        <w:p w14:paraId="2DCCFCFE" w14:textId="77777777" w:rsidR="009A375A" w:rsidRPr="004C1A3F" w:rsidRDefault="009A375A" w:rsidP="009A375A">
          <w:pPr>
            <w:pStyle w:val="Footer"/>
          </w:pPr>
          <w:r>
            <w:rPr>
              <w:noProof/>
              <w:bdr w:val="none" w:sz="0" w:space="0" w:color="auto" w:frame="1"/>
            </w:rPr>
            <w:drawing>
              <wp:inline distT="0" distB="0" distL="0" distR="0" wp14:anchorId="1D6D2778" wp14:editId="7F8FDC77">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2C125A2A" w14:textId="77777777" w:rsidR="009A375A" w:rsidRDefault="009A375A" w:rsidP="009A375A">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5719D872" w14:textId="77777777" w:rsidR="009A375A" w:rsidRPr="00745BBC" w:rsidRDefault="009A375A" w:rsidP="009A375A">
          <w:pPr>
            <w:pStyle w:val="Footer"/>
            <w:jc w:val="right"/>
            <w:rPr>
              <w:rStyle w:val="PageNumber"/>
              <w:sz w:val="18"/>
              <w:szCs w:val="16"/>
            </w:rPr>
          </w:pPr>
        </w:p>
      </w:tc>
    </w:tr>
    <w:tr w:rsidR="009A375A" w:rsidRPr="00E119F4" w14:paraId="60E71DC0" w14:textId="77777777" w:rsidTr="004D56CD">
      <w:trPr>
        <w:trHeight w:hRule="exact" w:val="445"/>
      </w:trPr>
      <w:tc>
        <w:tcPr>
          <w:tcW w:w="3628" w:type="dxa"/>
          <w:vMerge/>
          <w:vAlign w:val="center"/>
        </w:tcPr>
        <w:p w14:paraId="0686568A" w14:textId="77777777" w:rsidR="009A375A" w:rsidRPr="00745BBC" w:rsidRDefault="009A375A" w:rsidP="009A375A">
          <w:pPr>
            <w:pStyle w:val="Footer"/>
          </w:pPr>
        </w:p>
      </w:tc>
      <w:tc>
        <w:tcPr>
          <w:tcW w:w="6035" w:type="dxa"/>
          <w:vAlign w:val="center"/>
        </w:tcPr>
        <w:p w14:paraId="6AB29ABC" w14:textId="3C58808D" w:rsidR="009A375A" w:rsidRPr="00D1480E" w:rsidRDefault="009A375A" w:rsidP="009A375A">
          <w:pPr>
            <w:pStyle w:val="Header"/>
            <w:tabs>
              <w:tab w:val="left" w:pos="2580"/>
              <w:tab w:val="left" w:pos="2985"/>
            </w:tabs>
            <w:jc w:val="right"/>
            <w:rPr>
              <w:rFonts w:ascii="Arial" w:hAnsi="Arial"/>
              <w:b/>
              <w:color w:val="156082" w:themeColor="accent1"/>
            </w:rPr>
          </w:pPr>
          <w:r>
            <w:rPr>
              <w:rFonts w:ascii="Arial" w:hAnsi="Arial"/>
              <w:b/>
              <w:color w:val="156082" w:themeColor="accent1"/>
            </w:rPr>
            <w:t>Fire Emer</w:t>
          </w:r>
          <w:r w:rsidR="004D56CD">
            <w:rPr>
              <w:rFonts w:ascii="Arial" w:hAnsi="Arial"/>
              <w:b/>
              <w:color w:val="156082" w:themeColor="accent1"/>
            </w:rPr>
            <w:t>gency Protocol</w:t>
          </w:r>
        </w:p>
      </w:tc>
    </w:tr>
  </w:tbl>
  <w:p w14:paraId="1634EF4D" w14:textId="77777777" w:rsidR="004745F3" w:rsidRDefault="00474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253"/>
    <w:multiLevelType w:val="multilevel"/>
    <w:tmpl w:val="FE9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2577D"/>
    <w:multiLevelType w:val="multilevel"/>
    <w:tmpl w:val="2E3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E1A75"/>
    <w:multiLevelType w:val="multilevel"/>
    <w:tmpl w:val="71C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F093F"/>
    <w:multiLevelType w:val="multilevel"/>
    <w:tmpl w:val="DBDE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E3523"/>
    <w:multiLevelType w:val="multilevel"/>
    <w:tmpl w:val="85C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35E82"/>
    <w:multiLevelType w:val="multilevel"/>
    <w:tmpl w:val="FDA41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80BDA"/>
    <w:multiLevelType w:val="multilevel"/>
    <w:tmpl w:val="923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676270">
    <w:abstractNumId w:val="1"/>
  </w:num>
  <w:num w:numId="2" w16cid:durableId="176577664">
    <w:abstractNumId w:val="5"/>
  </w:num>
  <w:num w:numId="3" w16cid:durableId="66153968">
    <w:abstractNumId w:val="3"/>
  </w:num>
  <w:num w:numId="4" w16cid:durableId="1724595265">
    <w:abstractNumId w:val="6"/>
  </w:num>
  <w:num w:numId="5" w16cid:durableId="389495776">
    <w:abstractNumId w:val="4"/>
  </w:num>
  <w:num w:numId="6" w16cid:durableId="687682750">
    <w:abstractNumId w:val="2"/>
  </w:num>
  <w:num w:numId="7" w16cid:durableId="202088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F3"/>
    <w:rsid w:val="00017DB2"/>
    <w:rsid w:val="000A44B5"/>
    <w:rsid w:val="001114DE"/>
    <w:rsid w:val="003D5229"/>
    <w:rsid w:val="00400396"/>
    <w:rsid w:val="004745F3"/>
    <w:rsid w:val="004D56CD"/>
    <w:rsid w:val="0053597A"/>
    <w:rsid w:val="00823669"/>
    <w:rsid w:val="009A375A"/>
    <w:rsid w:val="00AD3C26"/>
    <w:rsid w:val="00D1593A"/>
    <w:rsid w:val="00E17075"/>
    <w:rsid w:val="00F160C0"/>
    <w:rsid w:val="00F70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1600D"/>
  <w15:chartTrackingRefBased/>
  <w15:docId w15:val="{2DF5B636-A07A-468D-A9DE-AE85A8BC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5F3"/>
    <w:rPr>
      <w:rFonts w:eastAsiaTheme="majorEastAsia" w:cstheme="majorBidi"/>
      <w:color w:val="272727" w:themeColor="text1" w:themeTint="D8"/>
    </w:rPr>
  </w:style>
  <w:style w:type="paragraph" w:styleId="Title">
    <w:name w:val="Title"/>
    <w:basedOn w:val="Normal"/>
    <w:next w:val="Normal"/>
    <w:link w:val="TitleChar"/>
    <w:uiPriority w:val="10"/>
    <w:qFormat/>
    <w:rsid w:val="00474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5F3"/>
    <w:pPr>
      <w:spacing w:before="160"/>
      <w:jc w:val="center"/>
    </w:pPr>
    <w:rPr>
      <w:i/>
      <w:iCs/>
      <w:color w:val="404040" w:themeColor="text1" w:themeTint="BF"/>
    </w:rPr>
  </w:style>
  <w:style w:type="character" w:customStyle="1" w:styleId="QuoteChar">
    <w:name w:val="Quote Char"/>
    <w:basedOn w:val="DefaultParagraphFont"/>
    <w:link w:val="Quote"/>
    <w:uiPriority w:val="29"/>
    <w:rsid w:val="004745F3"/>
    <w:rPr>
      <w:i/>
      <w:iCs/>
      <w:color w:val="404040" w:themeColor="text1" w:themeTint="BF"/>
    </w:rPr>
  </w:style>
  <w:style w:type="paragraph" w:styleId="ListParagraph">
    <w:name w:val="List Paragraph"/>
    <w:basedOn w:val="Normal"/>
    <w:uiPriority w:val="34"/>
    <w:qFormat/>
    <w:rsid w:val="004745F3"/>
    <w:pPr>
      <w:ind w:left="720"/>
      <w:contextualSpacing/>
    </w:pPr>
  </w:style>
  <w:style w:type="character" w:styleId="IntenseEmphasis">
    <w:name w:val="Intense Emphasis"/>
    <w:basedOn w:val="DefaultParagraphFont"/>
    <w:uiPriority w:val="21"/>
    <w:qFormat/>
    <w:rsid w:val="004745F3"/>
    <w:rPr>
      <w:i/>
      <w:iCs/>
      <w:color w:val="0F4761" w:themeColor="accent1" w:themeShade="BF"/>
    </w:rPr>
  </w:style>
  <w:style w:type="paragraph" w:styleId="IntenseQuote">
    <w:name w:val="Intense Quote"/>
    <w:basedOn w:val="Normal"/>
    <w:next w:val="Normal"/>
    <w:link w:val="IntenseQuoteChar"/>
    <w:uiPriority w:val="30"/>
    <w:qFormat/>
    <w:rsid w:val="00474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5F3"/>
    <w:rPr>
      <w:i/>
      <w:iCs/>
      <w:color w:val="0F4761" w:themeColor="accent1" w:themeShade="BF"/>
    </w:rPr>
  </w:style>
  <w:style w:type="character" w:styleId="IntenseReference">
    <w:name w:val="Intense Reference"/>
    <w:basedOn w:val="DefaultParagraphFont"/>
    <w:uiPriority w:val="32"/>
    <w:qFormat/>
    <w:rsid w:val="004745F3"/>
    <w:rPr>
      <w:b/>
      <w:bCs/>
      <w:smallCaps/>
      <w:color w:val="0F4761" w:themeColor="accent1" w:themeShade="BF"/>
      <w:spacing w:val="5"/>
    </w:rPr>
  </w:style>
  <w:style w:type="paragraph" w:styleId="Header">
    <w:name w:val="header"/>
    <w:basedOn w:val="Normal"/>
    <w:link w:val="HeaderChar"/>
    <w:uiPriority w:val="99"/>
    <w:unhideWhenUsed/>
    <w:rsid w:val="00474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5F3"/>
  </w:style>
  <w:style w:type="paragraph" w:styleId="Footer">
    <w:name w:val="footer"/>
    <w:basedOn w:val="Normal"/>
    <w:link w:val="FooterChar"/>
    <w:unhideWhenUsed/>
    <w:rsid w:val="00474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5F3"/>
  </w:style>
  <w:style w:type="paragraph" w:styleId="TOC1">
    <w:name w:val="toc 1"/>
    <w:basedOn w:val="Normal"/>
    <w:next w:val="Normal"/>
    <w:autoRedefine/>
    <w:uiPriority w:val="39"/>
    <w:semiHidden/>
    <w:unhideWhenUsed/>
    <w:qFormat/>
    <w:rsid w:val="0053597A"/>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53597A"/>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53597A"/>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53597A"/>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A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05786">
      <w:bodyDiv w:val="1"/>
      <w:marLeft w:val="0"/>
      <w:marRight w:val="0"/>
      <w:marTop w:val="0"/>
      <w:marBottom w:val="0"/>
      <w:divBdr>
        <w:top w:val="none" w:sz="0" w:space="0" w:color="auto"/>
        <w:left w:val="none" w:sz="0" w:space="0" w:color="auto"/>
        <w:bottom w:val="none" w:sz="0" w:space="0" w:color="auto"/>
        <w:right w:val="none" w:sz="0" w:space="0" w:color="auto"/>
      </w:divBdr>
    </w:div>
    <w:div w:id="861166766">
      <w:bodyDiv w:val="1"/>
      <w:marLeft w:val="0"/>
      <w:marRight w:val="0"/>
      <w:marTop w:val="0"/>
      <w:marBottom w:val="0"/>
      <w:divBdr>
        <w:top w:val="none" w:sz="0" w:space="0" w:color="auto"/>
        <w:left w:val="none" w:sz="0" w:space="0" w:color="auto"/>
        <w:bottom w:val="none" w:sz="0" w:space="0" w:color="auto"/>
        <w:right w:val="none" w:sz="0" w:space="0" w:color="auto"/>
      </w:divBdr>
    </w:div>
    <w:div w:id="21094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14</cp:revision>
  <cp:lastPrinted>2025-03-10T11:12:00Z</cp:lastPrinted>
  <dcterms:created xsi:type="dcterms:W3CDTF">2025-03-10T11:13:00Z</dcterms:created>
  <dcterms:modified xsi:type="dcterms:W3CDTF">2025-04-08T11:06:00Z</dcterms:modified>
</cp:coreProperties>
</file>