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7DFD" w14:textId="77777777" w:rsidR="00685CC5" w:rsidRDefault="00685CC5" w:rsidP="00685CC5">
      <w:pPr>
        <w:pStyle w:val="TOC1"/>
        <w:jc w:val="both"/>
        <w:rPr>
          <w:lang w:val="en-US"/>
        </w:rPr>
      </w:pPr>
      <w:bookmarkStart w:id="0" w:name="_Hlk194325268"/>
      <w:r>
        <w:rPr>
          <w:lang w:val="en-US"/>
        </w:rPr>
        <w:t>Approval</w:t>
      </w:r>
    </w:p>
    <w:p w14:paraId="14971DFE" w14:textId="77777777" w:rsidR="00685CC5" w:rsidRDefault="00685CC5" w:rsidP="00685CC5">
      <w:pPr>
        <w:spacing w:after="240"/>
        <w:jc w:val="both"/>
        <w:rPr>
          <w:rFonts w:cstheme="minorHAnsi"/>
          <w:szCs w:val="20"/>
          <w:lang w:val="en-US"/>
        </w:rPr>
      </w:pPr>
      <w:r>
        <w:rPr>
          <w:rFonts w:cstheme="minorHAnsi"/>
          <w:szCs w:val="20"/>
          <w:lang w:val="en-US"/>
        </w:rPr>
        <w:t xml:space="preserve">The </w:t>
      </w:r>
      <w:r>
        <w:rPr>
          <w:szCs w:val="20"/>
          <w:lang w:val="en-US"/>
        </w:rPr>
        <w:t>signatures below certify that this management system policy has been reviewed and accepted, and demonstrates that the signatories are aware of all the requirements contained herein and are committed to ensuring their provision</w:t>
      </w:r>
      <w:r>
        <w:rPr>
          <w:rFonts w:cstheme="minorHAnsi"/>
          <w:szCs w:val="20"/>
          <w:lang w:val="en-US"/>
        </w:rPr>
        <w:t>.</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2551"/>
        <w:gridCol w:w="2025"/>
        <w:gridCol w:w="2370"/>
        <w:gridCol w:w="1275"/>
      </w:tblGrid>
      <w:tr w:rsidR="00685CC5" w14:paraId="0BBA8892" w14:textId="77777777" w:rsidTr="00685CC5">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4664CE7" w14:textId="77777777" w:rsidR="00685CC5" w:rsidRDefault="00685CC5">
            <w:pPr>
              <w:pStyle w:val="NoSpacing"/>
              <w:spacing w:line="276" w:lineRule="auto"/>
              <w:jc w:val="both"/>
              <w:rPr>
                <w:kern w:val="2"/>
                <w14:ligatures w14:val="standardContextual"/>
              </w:rPr>
            </w:pP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3A0F329"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Name</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09D6368"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Signature</w:t>
            </w: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20FB5BC2"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Position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5FBE62F"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85CC5" w14:paraId="5AABB7A0" w14:textId="77777777" w:rsidTr="00685CC5">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E16074F"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Prepared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E231300" w14:textId="77777777" w:rsidR="00685CC5" w:rsidRDefault="00685CC5">
            <w:pPr>
              <w:spacing w:after="0"/>
              <w:jc w:val="both"/>
              <w:rPr>
                <w:lang w:val="en-US"/>
              </w:rPr>
            </w:pPr>
            <w:r>
              <w:rPr>
                <w:lang w:val="en-US"/>
              </w:rPr>
              <w:t>Dhairyasheel Ashok Mulik Patil</w:t>
            </w:r>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9CD4C6" w14:textId="77777777" w:rsidR="00685CC5" w:rsidRDefault="00685CC5">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59B6773" w14:textId="77777777" w:rsidR="00685CC5" w:rsidRDefault="00685CC5">
            <w:pPr>
              <w:spacing w:after="0"/>
              <w:jc w:val="both"/>
              <w:rPr>
                <w:lang w:val="en-US"/>
              </w:rPr>
            </w:pPr>
            <w:r>
              <w:rPr>
                <w:lang w:val="en-US"/>
              </w:rPr>
              <w:t>Quality Manager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5DC9778" w14:textId="77777777" w:rsidR="00685CC5" w:rsidRDefault="00685CC5">
            <w:pPr>
              <w:spacing w:after="0"/>
              <w:jc w:val="both"/>
              <w:rPr>
                <w:lang w:val="en-US"/>
              </w:rPr>
            </w:pPr>
          </w:p>
        </w:tc>
      </w:tr>
      <w:tr w:rsidR="00685CC5" w14:paraId="4B6481EA" w14:textId="77777777" w:rsidTr="00685CC5">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8B05796"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Reviewed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701CBC87" w14:textId="77777777" w:rsidR="00685CC5" w:rsidRDefault="00685CC5">
            <w:pPr>
              <w:spacing w:after="0"/>
              <w:jc w:val="both"/>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79793D" w14:textId="77777777" w:rsidR="00685CC5" w:rsidRDefault="00685CC5">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642CC5BE" w14:textId="77777777" w:rsidR="00685CC5" w:rsidRDefault="00685CC5">
            <w:pPr>
              <w:spacing w:after="0"/>
              <w:jc w:val="both"/>
              <w:rPr>
                <w:lang w:val="en-US"/>
              </w:rPr>
            </w:pPr>
            <w:r>
              <w:rPr>
                <w:lang w:val="en-US"/>
              </w:rPr>
              <w:t>Senior Engineer</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4AAE6C9" w14:textId="77777777" w:rsidR="00685CC5" w:rsidRDefault="00685CC5">
            <w:pPr>
              <w:spacing w:after="0"/>
              <w:jc w:val="both"/>
              <w:rPr>
                <w:lang w:val="en-US"/>
              </w:rPr>
            </w:pPr>
          </w:p>
        </w:tc>
      </w:tr>
      <w:tr w:rsidR="00685CC5" w14:paraId="5B2C4968" w14:textId="77777777" w:rsidTr="00685CC5">
        <w:trPr>
          <w:trHeight w:val="68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9D8C021"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Approved by</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3B4F8ED3" w14:textId="77777777" w:rsidR="00685CC5" w:rsidRDefault="00685CC5">
            <w:pPr>
              <w:spacing w:after="0"/>
              <w:jc w:val="both"/>
              <w:rPr>
                <w:lang w:val="en-US"/>
              </w:rPr>
            </w:pPr>
            <w:r>
              <w:rPr>
                <w:lang w:val="en-US"/>
              </w:rPr>
              <w:t xml:space="preserve">Joyti </w:t>
            </w:r>
            <w:proofErr w:type="spellStart"/>
            <w:r>
              <w:rPr>
                <w:lang w:val="en-US"/>
              </w:rPr>
              <w:t>Bidare</w:t>
            </w:r>
            <w:proofErr w:type="spellEnd"/>
          </w:p>
        </w:tc>
        <w:tc>
          <w:tcPr>
            <w:tcW w:w="20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6271083" w14:textId="77777777" w:rsidR="00685CC5" w:rsidRDefault="00685CC5">
            <w:pPr>
              <w:spacing w:after="0"/>
              <w:jc w:val="both"/>
              <w:rPr>
                <w:lang w:val="en-US"/>
              </w:rPr>
            </w:pPr>
          </w:p>
        </w:tc>
        <w:tc>
          <w:tcPr>
            <w:tcW w:w="23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hideMark/>
          </w:tcPr>
          <w:p w14:paraId="53B165F4" w14:textId="77777777" w:rsidR="00685CC5" w:rsidRDefault="00685CC5">
            <w:pPr>
              <w:spacing w:after="0"/>
              <w:jc w:val="both"/>
              <w:rPr>
                <w:lang w:val="en-US"/>
              </w:rPr>
            </w:pPr>
            <w:r>
              <w:rPr>
                <w:lang w:val="en-US"/>
              </w:rPr>
              <w:t>CEO</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7A11EED" w14:textId="77777777" w:rsidR="00685CC5" w:rsidRDefault="00685CC5">
            <w:pPr>
              <w:spacing w:after="0"/>
              <w:jc w:val="both"/>
              <w:rPr>
                <w:lang w:val="en-US"/>
              </w:rPr>
            </w:pPr>
          </w:p>
        </w:tc>
      </w:tr>
    </w:tbl>
    <w:p w14:paraId="4D08F66B" w14:textId="77777777" w:rsidR="00685CC5" w:rsidRDefault="00685CC5" w:rsidP="00685CC5">
      <w:pPr>
        <w:pStyle w:val="TOC1"/>
        <w:jc w:val="both"/>
        <w:rPr>
          <w:lang w:val="en-US"/>
        </w:rPr>
      </w:pPr>
      <w:r>
        <w:rPr>
          <w:lang w:val="en-US"/>
        </w:rPr>
        <w:t>Amendment Record</w:t>
      </w:r>
    </w:p>
    <w:p w14:paraId="6BE24654" w14:textId="77777777" w:rsidR="00685CC5" w:rsidRDefault="00685CC5" w:rsidP="00685CC5">
      <w:pPr>
        <w:spacing w:after="240"/>
        <w:jc w:val="both"/>
        <w:rPr>
          <w:lang w:val="en-US"/>
        </w:rPr>
      </w:pPr>
      <w:r>
        <w:rPr>
          <w:lang w:val="en-US"/>
        </w:rPr>
        <w:t>This procedure is reviewed to ensure its continuing relevance to the systems and process that it describes. A record of contextual additions or omissions is given below:</w:t>
      </w:r>
    </w:p>
    <w:tbl>
      <w:tblPr>
        <w:tblW w:w="963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418"/>
        <w:gridCol w:w="5528"/>
        <w:gridCol w:w="1418"/>
        <w:gridCol w:w="1275"/>
      </w:tblGrid>
      <w:tr w:rsidR="00685CC5" w14:paraId="504D6FAF" w14:textId="77777777" w:rsidTr="00685CC5">
        <w:trPr>
          <w:trHeight w:val="284"/>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62B0EE16"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Page No.</w:t>
            </w: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38AABFA6"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Context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09870E3D"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Revision</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E2841" w:themeFill="text2"/>
            <w:vAlign w:val="center"/>
            <w:hideMark/>
          </w:tcPr>
          <w:p w14:paraId="1D39DFDA" w14:textId="77777777" w:rsidR="00685CC5" w:rsidRDefault="00685CC5">
            <w:pPr>
              <w:pStyle w:val="NoSpacing"/>
              <w:spacing w:line="276" w:lineRule="auto"/>
              <w:jc w:val="both"/>
              <w:rPr>
                <w:rFonts w:ascii="Segoe UI" w:hAnsi="Segoe UI" w:cs="Segoe UI"/>
                <w:color w:val="FFFFFF" w:themeColor="background1"/>
                <w:kern w:val="2"/>
                <w:sz w:val="18"/>
                <w:szCs w:val="18"/>
                <w14:ligatures w14:val="standardContextual"/>
              </w:rPr>
            </w:pPr>
            <w:r>
              <w:rPr>
                <w:rFonts w:ascii="Segoe UI" w:hAnsi="Segoe UI" w:cs="Segoe UI"/>
                <w:color w:val="FFFFFF" w:themeColor="background1"/>
                <w:kern w:val="2"/>
                <w:sz w:val="18"/>
                <w:szCs w:val="18"/>
                <w14:ligatures w14:val="standardContextual"/>
              </w:rPr>
              <w:t>Date</w:t>
            </w:r>
          </w:p>
        </w:tc>
      </w:tr>
      <w:tr w:rsidR="00685CC5" w14:paraId="7A5490BD"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C25CF9"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C759279"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58119E0"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4CA921F" w14:textId="77777777" w:rsidR="00685CC5" w:rsidRDefault="00685CC5">
            <w:pPr>
              <w:spacing w:after="0"/>
              <w:jc w:val="both"/>
              <w:rPr>
                <w:lang w:val="en-US"/>
              </w:rPr>
            </w:pPr>
          </w:p>
        </w:tc>
      </w:tr>
      <w:tr w:rsidR="00685CC5" w14:paraId="54B8A288"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941AEEE"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7E09524"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C62DCA"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6D78290" w14:textId="77777777" w:rsidR="00685CC5" w:rsidRDefault="00685CC5">
            <w:pPr>
              <w:spacing w:after="0"/>
              <w:jc w:val="both"/>
              <w:rPr>
                <w:lang w:val="en-US"/>
              </w:rPr>
            </w:pPr>
          </w:p>
        </w:tc>
      </w:tr>
      <w:tr w:rsidR="00685CC5" w14:paraId="6358AB20"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401B8A"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86D58B3"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5F07D28"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5FE2EDC" w14:textId="77777777" w:rsidR="00685CC5" w:rsidRDefault="00685CC5">
            <w:pPr>
              <w:spacing w:after="0"/>
              <w:jc w:val="both"/>
              <w:rPr>
                <w:lang w:val="en-US"/>
              </w:rPr>
            </w:pPr>
          </w:p>
        </w:tc>
      </w:tr>
      <w:tr w:rsidR="00685CC5" w14:paraId="201A3460"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BA9D878"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DE25860"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651A1E"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4A7B010" w14:textId="77777777" w:rsidR="00685CC5" w:rsidRDefault="00685CC5">
            <w:pPr>
              <w:spacing w:after="0"/>
              <w:jc w:val="both"/>
              <w:rPr>
                <w:lang w:val="en-US"/>
              </w:rPr>
            </w:pPr>
          </w:p>
        </w:tc>
      </w:tr>
      <w:tr w:rsidR="00685CC5" w14:paraId="6C452DB7"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8580332"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37F511B"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6575EA3"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0D66748" w14:textId="77777777" w:rsidR="00685CC5" w:rsidRDefault="00685CC5">
            <w:pPr>
              <w:spacing w:after="0"/>
              <w:jc w:val="both"/>
              <w:rPr>
                <w:lang w:val="en-US"/>
              </w:rPr>
            </w:pPr>
          </w:p>
        </w:tc>
      </w:tr>
      <w:tr w:rsidR="00685CC5" w14:paraId="3E546A5E"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4F7A95C"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C290D35"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DEC7B79"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449CD44" w14:textId="77777777" w:rsidR="00685CC5" w:rsidRDefault="00685CC5">
            <w:pPr>
              <w:spacing w:after="0"/>
              <w:jc w:val="both"/>
              <w:rPr>
                <w:lang w:val="en-US"/>
              </w:rPr>
            </w:pPr>
          </w:p>
        </w:tc>
      </w:tr>
      <w:tr w:rsidR="00685CC5" w14:paraId="4F760020"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781689F"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9778BF"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002130"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005F433" w14:textId="77777777" w:rsidR="00685CC5" w:rsidRDefault="00685CC5">
            <w:pPr>
              <w:spacing w:after="0"/>
              <w:jc w:val="both"/>
              <w:rPr>
                <w:lang w:val="en-US"/>
              </w:rPr>
            </w:pPr>
          </w:p>
        </w:tc>
      </w:tr>
      <w:tr w:rsidR="00685CC5" w14:paraId="2A4D5DC9"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CEF9CEB"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63E6A6"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6942AC7"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D39B7CE" w14:textId="77777777" w:rsidR="00685CC5" w:rsidRDefault="00685CC5">
            <w:pPr>
              <w:spacing w:after="0"/>
              <w:jc w:val="both"/>
              <w:rPr>
                <w:lang w:val="en-US"/>
              </w:rPr>
            </w:pPr>
          </w:p>
        </w:tc>
      </w:tr>
      <w:tr w:rsidR="00685CC5" w14:paraId="3C7D90F4"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513BCE9"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1432F22"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973E1D3"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DAB3784" w14:textId="77777777" w:rsidR="00685CC5" w:rsidRDefault="00685CC5">
            <w:pPr>
              <w:spacing w:after="0"/>
              <w:jc w:val="both"/>
              <w:rPr>
                <w:lang w:val="en-US"/>
              </w:rPr>
            </w:pPr>
          </w:p>
        </w:tc>
      </w:tr>
      <w:tr w:rsidR="00685CC5" w14:paraId="0AADA577"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82EBDDA"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4362C88"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D576387"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C921146" w14:textId="77777777" w:rsidR="00685CC5" w:rsidRDefault="00685CC5">
            <w:pPr>
              <w:spacing w:after="0"/>
              <w:jc w:val="both"/>
              <w:rPr>
                <w:lang w:val="en-US"/>
              </w:rPr>
            </w:pPr>
          </w:p>
        </w:tc>
      </w:tr>
      <w:tr w:rsidR="00685CC5" w14:paraId="6F3F8B2C"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2B18399"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F12555B"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D61568D"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425EE6" w14:textId="77777777" w:rsidR="00685CC5" w:rsidRDefault="00685CC5">
            <w:pPr>
              <w:spacing w:after="0"/>
              <w:jc w:val="both"/>
              <w:rPr>
                <w:lang w:val="en-US"/>
              </w:rPr>
            </w:pPr>
          </w:p>
        </w:tc>
      </w:tr>
      <w:tr w:rsidR="00685CC5" w14:paraId="60C5B31A" w14:textId="77777777" w:rsidTr="00685CC5">
        <w:trPr>
          <w:trHeight w:val="340"/>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73CB0D38" w14:textId="77777777" w:rsidR="00685CC5" w:rsidRDefault="00685CC5">
            <w:pPr>
              <w:spacing w:after="0"/>
              <w:jc w:val="both"/>
              <w:rPr>
                <w:lang w:val="en-US"/>
              </w:rPr>
            </w:pPr>
          </w:p>
        </w:tc>
        <w:tc>
          <w:tcPr>
            <w:tcW w:w="5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FC70F75" w14:textId="77777777" w:rsidR="00685CC5" w:rsidRDefault="00685CC5">
            <w:pPr>
              <w:spacing w:after="0"/>
              <w:jc w:val="both"/>
              <w:rPr>
                <w:lang w:val="en-US"/>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A8EDEC" w14:textId="77777777" w:rsidR="00685CC5" w:rsidRDefault="00685CC5">
            <w:pPr>
              <w:spacing w:after="0"/>
              <w:jc w:val="both"/>
              <w:rPr>
                <w:lang w:val="en-US"/>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BC3839" w14:textId="77777777" w:rsidR="00685CC5" w:rsidRDefault="00685CC5">
            <w:pPr>
              <w:spacing w:after="0"/>
              <w:jc w:val="both"/>
              <w:rPr>
                <w:lang w:val="en-US"/>
              </w:rPr>
            </w:pPr>
          </w:p>
        </w:tc>
      </w:tr>
    </w:tbl>
    <w:p w14:paraId="1B74E8D4" w14:textId="77777777" w:rsidR="00685CC5" w:rsidRDefault="00685CC5" w:rsidP="00685CC5">
      <w:pPr>
        <w:pStyle w:val="TOC1"/>
        <w:jc w:val="both"/>
      </w:pPr>
      <w:r>
        <w:t>Company Proprietary Information</w:t>
      </w:r>
    </w:p>
    <w:p w14:paraId="6F14D492" w14:textId="77777777" w:rsidR="00685CC5" w:rsidRDefault="00685CC5" w:rsidP="00685CC5">
      <w:pPr>
        <w:spacing w:after="240"/>
        <w:jc w:val="both"/>
      </w:pPr>
      <w:r>
        <w:t>The electronic version of this procedure is the latest revision. It is the responsibility of the individual to ensure that any paper material is the current revision. The printed version of this manual is uncontrolled, except when provided with a document reference number and revision in the field below:</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5"/>
        <w:gridCol w:w="1174"/>
        <w:gridCol w:w="1557"/>
        <w:gridCol w:w="388"/>
        <w:gridCol w:w="2126"/>
        <w:gridCol w:w="709"/>
        <w:gridCol w:w="1417"/>
      </w:tblGrid>
      <w:tr w:rsidR="00685CC5" w14:paraId="16395CFD" w14:textId="77777777" w:rsidTr="00685CC5">
        <w:trPr>
          <w:trHeight w:val="362"/>
        </w:trPr>
        <w:tc>
          <w:tcPr>
            <w:tcW w:w="1843" w:type="dxa"/>
            <w:vAlign w:val="center"/>
            <w:hideMark/>
          </w:tcPr>
          <w:p w14:paraId="0D2BD0CA" w14:textId="77777777" w:rsidR="00685CC5" w:rsidRDefault="00685CC5">
            <w:pPr>
              <w:pStyle w:val="NoSpacing"/>
              <w:jc w:val="both"/>
              <w:rPr>
                <w:rFonts w:ascii="Segoe UI" w:hAnsi="Segoe UI" w:cs="Segoe UI"/>
                <w:color w:val="auto"/>
                <w:sz w:val="16"/>
                <w:szCs w:val="18"/>
              </w:rPr>
            </w:pPr>
            <w:r>
              <w:rPr>
                <w:rFonts w:ascii="Segoe UI" w:hAnsi="Segoe UI" w:cs="Segoe UI"/>
                <w:color w:val="auto"/>
                <w:sz w:val="16"/>
                <w:szCs w:val="18"/>
              </w:rPr>
              <w:t>Document Ref.</w:t>
            </w:r>
          </w:p>
        </w:tc>
        <w:tc>
          <w:tcPr>
            <w:tcW w:w="5670" w:type="dxa"/>
            <w:gridSpan w:val="5"/>
            <w:tcBorders>
              <w:top w:val="nil"/>
              <w:left w:val="nil"/>
              <w:bottom w:val="single" w:sz="4" w:space="0" w:color="BFBFBF" w:themeColor="background1" w:themeShade="BF"/>
              <w:right w:val="nil"/>
            </w:tcBorders>
            <w:vAlign w:val="center"/>
          </w:tcPr>
          <w:p w14:paraId="64F590A6" w14:textId="77777777" w:rsidR="00685CC5" w:rsidRDefault="00685CC5">
            <w:pPr>
              <w:pStyle w:val="NoSpacing"/>
              <w:jc w:val="both"/>
              <w:rPr>
                <w:color w:val="auto"/>
                <w:sz w:val="18"/>
                <w:szCs w:val="18"/>
              </w:rPr>
            </w:pPr>
          </w:p>
        </w:tc>
        <w:tc>
          <w:tcPr>
            <w:tcW w:w="709" w:type="dxa"/>
            <w:vAlign w:val="center"/>
            <w:hideMark/>
          </w:tcPr>
          <w:p w14:paraId="3BBB2425" w14:textId="77777777" w:rsidR="00685CC5" w:rsidRDefault="00685CC5">
            <w:pPr>
              <w:pStyle w:val="NoSpacing"/>
              <w:jc w:val="both"/>
              <w:rPr>
                <w:rFonts w:ascii="Segoe UI" w:hAnsi="Segoe UI" w:cs="Segoe UI"/>
                <w:color w:val="auto"/>
                <w:sz w:val="16"/>
                <w:szCs w:val="18"/>
              </w:rPr>
            </w:pPr>
            <w:r>
              <w:rPr>
                <w:rFonts w:ascii="Segoe UI" w:hAnsi="Segoe UI" w:cs="Segoe UI"/>
                <w:color w:val="auto"/>
                <w:sz w:val="16"/>
                <w:szCs w:val="18"/>
              </w:rPr>
              <w:t>Rev</w:t>
            </w:r>
          </w:p>
        </w:tc>
        <w:tc>
          <w:tcPr>
            <w:tcW w:w="1417" w:type="dxa"/>
            <w:tcBorders>
              <w:top w:val="nil"/>
              <w:left w:val="nil"/>
              <w:bottom w:val="single" w:sz="4" w:space="0" w:color="BFBFBF" w:themeColor="background1" w:themeShade="BF"/>
              <w:right w:val="nil"/>
            </w:tcBorders>
            <w:vAlign w:val="center"/>
          </w:tcPr>
          <w:p w14:paraId="1566723D" w14:textId="77777777" w:rsidR="00685CC5" w:rsidRDefault="00685CC5">
            <w:pPr>
              <w:pStyle w:val="NoSpacing"/>
              <w:jc w:val="both"/>
              <w:rPr>
                <w:color w:val="auto"/>
                <w:sz w:val="18"/>
                <w:szCs w:val="18"/>
              </w:rPr>
            </w:pPr>
          </w:p>
        </w:tc>
      </w:tr>
      <w:tr w:rsidR="00685CC5" w14:paraId="454D234D" w14:textId="77777777" w:rsidTr="00685CC5">
        <w:trPr>
          <w:trHeight w:val="92"/>
        </w:trPr>
        <w:tc>
          <w:tcPr>
            <w:tcW w:w="1843" w:type="dxa"/>
            <w:vAlign w:val="center"/>
          </w:tcPr>
          <w:p w14:paraId="31B10CAF" w14:textId="77777777" w:rsidR="00685CC5" w:rsidRDefault="00685CC5">
            <w:pPr>
              <w:pStyle w:val="NoSpacing"/>
              <w:jc w:val="both"/>
              <w:rPr>
                <w:rFonts w:ascii="Segoe UI" w:hAnsi="Segoe UI" w:cs="Segoe UI"/>
                <w:color w:val="auto"/>
                <w:sz w:val="16"/>
                <w:szCs w:val="18"/>
              </w:rPr>
            </w:pPr>
          </w:p>
        </w:tc>
        <w:tc>
          <w:tcPr>
            <w:tcW w:w="425" w:type="dxa"/>
            <w:tcBorders>
              <w:top w:val="single" w:sz="4" w:space="0" w:color="BFBFBF" w:themeColor="background1" w:themeShade="BF"/>
              <w:left w:val="nil"/>
              <w:bottom w:val="single" w:sz="4" w:space="0" w:color="BFBFBF" w:themeColor="background1" w:themeShade="BF"/>
              <w:right w:val="nil"/>
            </w:tcBorders>
            <w:vAlign w:val="center"/>
          </w:tcPr>
          <w:p w14:paraId="704066F2" w14:textId="77777777" w:rsidR="00685CC5" w:rsidRDefault="00685CC5">
            <w:pPr>
              <w:pStyle w:val="NoSpacing"/>
              <w:jc w:val="both"/>
              <w:rPr>
                <w:color w:val="auto"/>
                <w:sz w:val="18"/>
                <w:szCs w:val="18"/>
              </w:rPr>
            </w:pPr>
          </w:p>
        </w:tc>
        <w:tc>
          <w:tcPr>
            <w:tcW w:w="5245" w:type="dxa"/>
            <w:gridSpan w:val="4"/>
            <w:tcBorders>
              <w:top w:val="single" w:sz="4" w:space="0" w:color="BFBFBF" w:themeColor="background1" w:themeShade="BF"/>
              <w:left w:val="nil"/>
              <w:bottom w:val="nil"/>
              <w:right w:val="nil"/>
            </w:tcBorders>
            <w:vAlign w:val="center"/>
          </w:tcPr>
          <w:p w14:paraId="71BA35CA" w14:textId="77777777" w:rsidR="00685CC5" w:rsidRDefault="00685CC5">
            <w:pPr>
              <w:pStyle w:val="NoSpacing"/>
              <w:jc w:val="both"/>
              <w:rPr>
                <w:color w:val="auto"/>
                <w:sz w:val="18"/>
                <w:szCs w:val="18"/>
              </w:rPr>
            </w:pPr>
          </w:p>
        </w:tc>
        <w:tc>
          <w:tcPr>
            <w:tcW w:w="709" w:type="dxa"/>
            <w:vAlign w:val="center"/>
          </w:tcPr>
          <w:p w14:paraId="0FAE8B89" w14:textId="77777777" w:rsidR="00685CC5" w:rsidRDefault="00685CC5">
            <w:pPr>
              <w:pStyle w:val="NoSpacing"/>
              <w:jc w:val="both"/>
              <w:rPr>
                <w:rFonts w:ascii="Segoe UI" w:hAnsi="Segoe UI" w:cs="Segoe UI"/>
                <w:color w:val="auto"/>
                <w:sz w:val="16"/>
                <w:szCs w:val="18"/>
              </w:rPr>
            </w:pPr>
          </w:p>
        </w:tc>
        <w:tc>
          <w:tcPr>
            <w:tcW w:w="1417" w:type="dxa"/>
            <w:tcBorders>
              <w:top w:val="single" w:sz="4" w:space="0" w:color="BFBFBF" w:themeColor="background1" w:themeShade="BF"/>
              <w:left w:val="nil"/>
              <w:bottom w:val="nil"/>
              <w:right w:val="nil"/>
            </w:tcBorders>
            <w:vAlign w:val="center"/>
          </w:tcPr>
          <w:p w14:paraId="362BB1B4" w14:textId="77777777" w:rsidR="00685CC5" w:rsidRDefault="00685CC5">
            <w:pPr>
              <w:pStyle w:val="NoSpacing"/>
              <w:jc w:val="both"/>
              <w:rPr>
                <w:color w:val="auto"/>
                <w:sz w:val="18"/>
                <w:szCs w:val="18"/>
              </w:rPr>
            </w:pPr>
          </w:p>
        </w:tc>
      </w:tr>
      <w:tr w:rsidR="00685CC5" w14:paraId="43332941" w14:textId="77777777" w:rsidTr="00685CC5">
        <w:trPr>
          <w:trHeight w:val="334"/>
        </w:trPr>
        <w:tc>
          <w:tcPr>
            <w:tcW w:w="1843" w:type="dxa"/>
            <w:tcBorders>
              <w:top w:val="nil"/>
              <w:left w:val="nil"/>
              <w:bottom w:val="nil"/>
              <w:right w:val="single" w:sz="4" w:space="0" w:color="BFBFBF" w:themeColor="background1" w:themeShade="BF"/>
            </w:tcBorders>
            <w:vAlign w:val="center"/>
            <w:hideMark/>
          </w:tcPr>
          <w:p w14:paraId="3B5023CE" w14:textId="77777777" w:rsidR="00685CC5" w:rsidRDefault="00685CC5">
            <w:pPr>
              <w:pStyle w:val="NoSpacing"/>
              <w:jc w:val="both"/>
              <w:rPr>
                <w:rFonts w:ascii="Segoe UI" w:hAnsi="Segoe UI" w:cs="Segoe UI"/>
                <w:color w:val="auto"/>
                <w:sz w:val="16"/>
                <w:szCs w:val="18"/>
              </w:rPr>
            </w:pPr>
            <w:r>
              <w:rPr>
                <w:rFonts w:ascii="Segoe UI" w:hAnsi="Segoe UI" w:cs="Segoe UI"/>
                <w:color w:val="auto"/>
                <w:sz w:val="16"/>
                <w:szCs w:val="18"/>
              </w:rPr>
              <w:t>Uncontrolled Copy</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7A5FB8" w14:textId="77777777" w:rsidR="00685CC5" w:rsidRDefault="00685CC5">
            <w:pPr>
              <w:pStyle w:val="NoSpacing"/>
              <w:jc w:val="both"/>
              <w:rPr>
                <w:rFonts w:ascii="Wingdings 2" w:hAnsi="Wingdings 2"/>
                <w:color w:val="auto"/>
                <w:sz w:val="18"/>
                <w:szCs w:val="18"/>
              </w:rPr>
            </w:pPr>
            <w:r>
              <w:rPr>
                <w:rFonts w:ascii="Wingdings 2" w:hAnsi="Wingdings 2"/>
                <w:color w:val="auto"/>
                <w:sz w:val="18"/>
                <w:szCs w:val="18"/>
              </w:rPr>
              <w:t></w:t>
            </w:r>
          </w:p>
        </w:tc>
        <w:tc>
          <w:tcPr>
            <w:tcW w:w="1174" w:type="dxa"/>
            <w:tcBorders>
              <w:top w:val="nil"/>
              <w:left w:val="single" w:sz="4" w:space="0" w:color="BFBFBF" w:themeColor="background1" w:themeShade="BF"/>
              <w:bottom w:val="nil"/>
              <w:right w:val="nil"/>
            </w:tcBorders>
            <w:vAlign w:val="center"/>
          </w:tcPr>
          <w:p w14:paraId="4DB6CD11" w14:textId="77777777" w:rsidR="00685CC5" w:rsidRDefault="00685CC5">
            <w:pPr>
              <w:pStyle w:val="NoSpacing"/>
              <w:jc w:val="both"/>
              <w:rPr>
                <w:color w:val="auto"/>
                <w:sz w:val="18"/>
                <w:szCs w:val="18"/>
              </w:rPr>
            </w:pPr>
          </w:p>
        </w:tc>
        <w:tc>
          <w:tcPr>
            <w:tcW w:w="1557" w:type="dxa"/>
            <w:tcBorders>
              <w:top w:val="nil"/>
              <w:left w:val="nil"/>
              <w:bottom w:val="nil"/>
              <w:right w:val="single" w:sz="4" w:space="0" w:color="BFBFBF" w:themeColor="background1" w:themeShade="BF"/>
            </w:tcBorders>
            <w:vAlign w:val="center"/>
            <w:hideMark/>
          </w:tcPr>
          <w:p w14:paraId="78E5D9FE" w14:textId="77777777" w:rsidR="00685CC5" w:rsidRDefault="00685CC5">
            <w:pPr>
              <w:pStyle w:val="NoSpacing"/>
              <w:jc w:val="both"/>
              <w:rPr>
                <w:rFonts w:ascii="Segoe UI" w:hAnsi="Segoe UI" w:cs="Segoe UI"/>
                <w:color w:val="auto"/>
                <w:sz w:val="18"/>
                <w:szCs w:val="18"/>
              </w:rPr>
            </w:pPr>
            <w:r>
              <w:rPr>
                <w:rFonts w:ascii="Segoe UI" w:hAnsi="Segoe UI" w:cs="Segoe UI"/>
                <w:color w:val="auto"/>
                <w:sz w:val="16"/>
                <w:szCs w:val="18"/>
              </w:rPr>
              <w:t>Controlled Copy</w:t>
            </w:r>
          </w:p>
        </w:tc>
        <w:tc>
          <w:tcPr>
            <w:tcW w:w="3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E8D6CB" w14:textId="77777777" w:rsidR="00685CC5" w:rsidRDefault="00685CC5">
            <w:pPr>
              <w:pStyle w:val="NoSpacing"/>
              <w:jc w:val="both"/>
              <w:rPr>
                <w:color w:val="auto"/>
                <w:sz w:val="18"/>
                <w:szCs w:val="18"/>
              </w:rPr>
            </w:pPr>
          </w:p>
        </w:tc>
        <w:tc>
          <w:tcPr>
            <w:tcW w:w="2126" w:type="dxa"/>
            <w:tcBorders>
              <w:top w:val="nil"/>
              <w:left w:val="single" w:sz="4" w:space="0" w:color="BFBFBF" w:themeColor="background1" w:themeShade="BF"/>
              <w:bottom w:val="nil"/>
              <w:right w:val="nil"/>
            </w:tcBorders>
            <w:vAlign w:val="center"/>
          </w:tcPr>
          <w:p w14:paraId="1384E46B" w14:textId="77777777" w:rsidR="00685CC5" w:rsidRDefault="00685CC5">
            <w:pPr>
              <w:pStyle w:val="NoSpacing"/>
              <w:jc w:val="both"/>
              <w:rPr>
                <w:color w:val="auto"/>
                <w:sz w:val="18"/>
                <w:szCs w:val="18"/>
              </w:rPr>
            </w:pPr>
          </w:p>
        </w:tc>
        <w:tc>
          <w:tcPr>
            <w:tcW w:w="709" w:type="dxa"/>
            <w:vAlign w:val="center"/>
            <w:hideMark/>
          </w:tcPr>
          <w:p w14:paraId="6C3B98F6" w14:textId="77777777" w:rsidR="00685CC5" w:rsidRDefault="00685CC5">
            <w:pPr>
              <w:pStyle w:val="NoSpacing"/>
              <w:jc w:val="both"/>
              <w:rPr>
                <w:rFonts w:ascii="Segoe UI" w:hAnsi="Segoe UI" w:cs="Segoe UI"/>
                <w:color w:val="auto"/>
                <w:sz w:val="16"/>
                <w:szCs w:val="18"/>
              </w:rPr>
            </w:pPr>
            <w:r>
              <w:rPr>
                <w:rFonts w:ascii="Segoe UI" w:hAnsi="Segoe UI" w:cs="Segoe UI"/>
                <w:color w:val="auto"/>
                <w:sz w:val="16"/>
                <w:szCs w:val="18"/>
              </w:rPr>
              <w:t>Date</w:t>
            </w:r>
          </w:p>
        </w:tc>
        <w:tc>
          <w:tcPr>
            <w:tcW w:w="1417" w:type="dxa"/>
            <w:tcBorders>
              <w:top w:val="nil"/>
              <w:left w:val="nil"/>
              <w:bottom w:val="single" w:sz="4" w:space="0" w:color="BFBFBF" w:themeColor="background1" w:themeShade="BF"/>
              <w:right w:val="nil"/>
            </w:tcBorders>
            <w:vAlign w:val="center"/>
          </w:tcPr>
          <w:p w14:paraId="45680922" w14:textId="77777777" w:rsidR="00685CC5" w:rsidRDefault="00685CC5">
            <w:pPr>
              <w:pStyle w:val="NoSpacing"/>
              <w:jc w:val="both"/>
              <w:rPr>
                <w:color w:val="auto"/>
                <w:sz w:val="18"/>
                <w:szCs w:val="18"/>
              </w:rPr>
            </w:pPr>
          </w:p>
        </w:tc>
      </w:tr>
      <w:bookmarkEnd w:id="0"/>
    </w:tbl>
    <w:p w14:paraId="1CC27C88" w14:textId="77777777" w:rsidR="00685CC5" w:rsidRDefault="00685CC5" w:rsidP="00685CC5">
      <w:pPr>
        <w:jc w:val="both"/>
        <w:rPr>
          <w:rFonts w:ascii="Cambria" w:hAnsi="Cambria"/>
          <w:b/>
          <w:bCs/>
        </w:rPr>
      </w:pPr>
    </w:p>
    <w:p w14:paraId="03A85181" w14:textId="0894C41B" w:rsidR="00BA4B92" w:rsidRPr="005F224C" w:rsidRDefault="00685CC5" w:rsidP="00394B4E">
      <w:r>
        <w:rPr>
          <w:rFonts w:ascii="Cambria" w:hAnsi="Cambria"/>
          <w:b/>
          <w:bCs/>
          <w:sz w:val="28"/>
          <w:szCs w:val="28"/>
        </w:rPr>
        <w:br w:type="page"/>
      </w:r>
      <w:r w:rsidR="00BA4B92" w:rsidRPr="005F224C">
        <w:rPr>
          <w:b/>
          <w:bCs/>
        </w:rPr>
        <w:lastRenderedPageBreak/>
        <w:t>Knowledge Transfer Protocol</w:t>
      </w:r>
    </w:p>
    <w:p w14:paraId="6B4B6B4C" w14:textId="0C7B6D9D" w:rsidR="00BA4B92" w:rsidRPr="005F224C" w:rsidRDefault="00BA4B92" w:rsidP="00DB0DB4">
      <w:pPr>
        <w:jc w:val="both"/>
      </w:pPr>
      <w:r w:rsidRPr="005F224C">
        <w:rPr>
          <w:b/>
          <w:bCs/>
        </w:rPr>
        <w:t>1. Purpose</w:t>
      </w:r>
      <w:r w:rsidRPr="005F224C">
        <w:t xml:space="preserve"> The purpose of this protocol is to ensure a seamless transfer of knowledge when an employee, particularly one in a critical role, </w:t>
      </w:r>
      <w:r w:rsidR="007D3673" w:rsidRPr="005F224C">
        <w:t>leaves</w:t>
      </w:r>
      <w:r w:rsidR="007D3673">
        <w:t>, retires</w:t>
      </w:r>
      <w:r w:rsidR="00DB0DB4">
        <w:t xml:space="preserve"> or </w:t>
      </w:r>
      <w:r w:rsidR="007D3673">
        <w:t>transfer</w:t>
      </w:r>
      <w:r w:rsidRPr="005F224C">
        <w:t xml:space="preserve"> the organization. This process aims to maintain operational continuity, preserve institutional knowledge, and minimize disruptions.</w:t>
      </w:r>
    </w:p>
    <w:p w14:paraId="47602D9B" w14:textId="77777777" w:rsidR="00BA4B92" w:rsidRPr="005F224C" w:rsidRDefault="00BA4B92" w:rsidP="00BA4B92">
      <w:r w:rsidRPr="005F224C">
        <w:rPr>
          <w:b/>
          <w:bCs/>
        </w:rPr>
        <w:t>2. Scope</w:t>
      </w:r>
      <w:r w:rsidRPr="005F224C">
        <w:t xml:space="preserve"> This protocol applies to all employees transitioning out of key roles and their designated successors or knowledge recipients.</w:t>
      </w:r>
    </w:p>
    <w:p w14:paraId="4FC27BD5" w14:textId="77777777" w:rsidR="00BA4B92" w:rsidRPr="005F224C" w:rsidRDefault="00BA4B92" w:rsidP="00BA4B92">
      <w:r w:rsidRPr="005F224C">
        <w:rPr>
          <w:b/>
          <w:bCs/>
        </w:rPr>
        <w:t>3. Key Components of Knowledge Transfer</w:t>
      </w:r>
    </w:p>
    <w:tbl>
      <w:tblPr>
        <w:tblStyle w:val="TableGrid"/>
        <w:tblW w:w="0" w:type="auto"/>
        <w:tblLook w:val="04A0" w:firstRow="1" w:lastRow="0" w:firstColumn="1" w:lastColumn="0" w:noHBand="0" w:noVBand="1"/>
      </w:tblPr>
      <w:tblGrid>
        <w:gridCol w:w="2407"/>
        <w:gridCol w:w="1493"/>
        <w:gridCol w:w="1320"/>
        <w:gridCol w:w="1378"/>
        <w:gridCol w:w="1324"/>
        <w:gridCol w:w="1094"/>
      </w:tblGrid>
      <w:tr w:rsidR="00BA4B92" w:rsidRPr="005F224C" w14:paraId="0C3317D3" w14:textId="77777777" w:rsidTr="00BA4B92">
        <w:tc>
          <w:tcPr>
            <w:tcW w:w="2122" w:type="dxa"/>
            <w:hideMark/>
          </w:tcPr>
          <w:p w14:paraId="73158320" w14:textId="77777777" w:rsidR="00BA4B92" w:rsidRPr="005F224C" w:rsidRDefault="00BA4B92" w:rsidP="00BA4B92">
            <w:pPr>
              <w:spacing w:after="160" w:line="278" w:lineRule="auto"/>
              <w:rPr>
                <w:b/>
                <w:bCs/>
              </w:rPr>
            </w:pPr>
            <w:r w:rsidRPr="005F224C">
              <w:rPr>
                <w:b/>
                <w:bCs/>
              </w:rPr>
              <w:t>What</w:t>
            </w:r>
          </w:p>
        </w:tc>
        <w:tc>
          <w:tcPr>
            <w:tcW w:w="2157" w:type="dxa"/>
            <w:hideMark/>
          </w:tcPr>
          <w:p w14:paraId="1B546048" w14:textId="77777777" w:rsidR="00BA4B92" w:rsidRPr="005F224C" w:rsidRDefault="00BA4B92" w:rsidP="00BA4B92">
            <w:pPr>
              <w:spacing w:after="160" w:line="278" w:lineRule="auto"/>
              <w:rPr>
                <w:b/>
                <w:bCs/>
              </w:rPr>
            </w:pPr>
            <w:r w:rsidRPr="005F224C">
              <w:rPr>
                <w:b/>
                <w:bCs/>
              </w:rPr>
              <w:t>Who</w:t>
            </w:r>
          </w:p>
        </w:tc>
        <w:tc>
          <w:tcPr>
            <w:tcW w:w="0" w:type="auto"/>
            <w:hideMark/>
          </w:tcPr>
          <w:p w14:paraId="0EFE752A" w14:textId="77777777" w:rsidR="00BA4B92" w:rsidRPr="005F224C" w:rsidRDefault="00BA4B92" w:rsidP="00BA4B92">
            <w:pPr>
              <w:spacing w:after="160" w:line="278" w:lineRule="auto"/>
              <w:rPr>
                <w:b/>
                <w:bCs/>
              </w:rPr>
            </w:pPr>
            <w:r w:rsidRPr="005F224C">
              <w:rPr>
                <w:b/>
                <w:bCs/>
              </w:rPr>
              <w:t>Why</w:t>
            </w:r>
          </w:p>
        </w:tc>
        <w:tc>
          <w:tcPr>
            <w:tcW w:w="0" w:type="auto"/>
            <w:hideMark/>
          </w:tcPr>
          <w:p w14:paraId="52E178EA" w14:textId="77777777" w:rsidR="00BA4B92" w:rsidRPr="005F224C" w:rsidRDefault="00BA4B92" w:rsidP="00BA4B92">
            <w:pPr>
              <w:spacing w:after="160" w:line="278" w:lineRule="auto"/>
              <w:rPr>
                <w:b/>
                <w:bCs/>
              </w:rPr>
            </w:pPr>
            <w:r w:rsidRPr="005F224C">
              <w:rPr>
                <w:b/>
                <w:bCs/>
              </w:rPr>
              <w:t>How</w:t>
            </w:r>
          </w:p>
        </w:tc>
        <w:tc>
          <w:tcPr>
            <w:tcW w:w="0" w:type="auto"/>
            <w:hideMark/>
          </w:tcPr>
          <w:p w14:paraId="2EE88CBD" w14:textId="77777777" w:rsidR="00BA4B92" w:rsidRPr="005F224C" w:rsidRDefault="00BA4B92" w:rsidP="00BA4B92">
            <w:pPr>
              <w:spacing w:after="160" w:line="278" w:lineRule="auto"/>
              <w:rPr>
                <w:b/>
                <w:bCs/>
              </w:rPr>
            </w:pPr>
            <w:r w:rsidRPr="005F224C">
              <w:rPr>
                <w:b/>
                <w:bCs/>
              </w:rPr>
              <w:t>When</w:t>
            </w:r>
          </w:p>
        </w:tc>
        <w:tc>
          <w:tcPr>
            <w:tcW w:w="0" w:type="auto"/>
            <w:hideMark/>
          </w:tcPr>
          <w:p w14:paraId="2A6BFF6F" w14:textId="77777777" w:rsidR="00BA4B92" w:rsidRPr="005F224C" w:rsidRDefault="00BA4B92" w:rsidP="00BA4B92">
            <w:pPr>
              <w:spacing w:after="160" w:line="278" w:lineRule="auto"/>
              <w:rPr>
                <w:b/>
                <w:bCs/>
              </w:rPr>
            </w:pPr>
            <w:r w:rsidRPr="005F224C">
              <w:rPr>
                <w:b/>
                <w:bCs/>
              </w:rPr>
              <w:t>Follow-up</w:t>
            </w:r>
          </w:p>
        </w:tc>
      </w:tr>
      <w:tr w:rsidR="00BA4B92" w:rsidRPr="005F224C" w14:paraId="33BF7F63" w14:textId="77777777" w:rsidTr="00BA4B92">
        <w:trPr>
          <w:trHeight w:val="834"/>
        </w:trPr>
        <w:tc>
          <w:tcPr>
            <w:tcW w:w="2122" w:type="dxa"/>
            <w:hideMark/>
          </w:tcPr>
          <w:p w14:paraId="1F25AC9B" w14:textId="77777777" w:rsidR="00BA4B92" w:rsidRPr="005F224C" w:rsidRDefault="00BA4B92" w:rsidP="00BA4B92">
            <w:pPr>
              <w:spacing w:after="160" w:line="278" w:lineRule="auto"/>
            </w:pPr>
            <w:r w:rsidRPr="005F224C">
              <w:t>Skill/Task/Knowledge</w:t>
            </w:r>
          </w:p>
        </w:tc>
        <w:tc>
          <w:tcPr>
            <w:tcW w:w="2157" w:type="dxa"/>
            <w:hideMark/>
          </w:tcPr>
          <w:p w14:paraId="035B7D92" w14:textId="77777777" w:rsidR="00BA4B92" w:rsidRPr="005F224C" w:rsidRDefault="00BA4B92" w:rsidP="00BA4B92">
            <w:pPr>
              <w:spacing w:after="160" w:line="278" w:lineRule="auto"/>
            </w:pPr>
            <w:r w:rsidRPr="005F224C">
              <w:t>Knowledge Owner &amp; Recipient</w:t>
            </w:r>
          </w:p>
        </w:tc>
        <w:tc>
          <w:tcPr>
            <w:tcW w:w="0" w:type="auto"/>
            <w:hideMark/>
          </w:tcPr>
          <w:p w14:paraId="67ECF38C" w14:textId="77777777" w:rsidR="00BA4B92" w:rsidRPr="005F224C" w:rsidRDefault="00BA4B92" w:rsidP="00BA4B92">
            <w:pPr>
              <w:spacing w:after="160" w:line="278" w:lineRule="auto"/>
            </w:pPr>
            <w:r w:rsidRPr="005F224C">
              <w:t>Objectives</w:t>
            </w:r>
          </w:p>
        </w:tc>
        <w:tc>
          <w:tcPr>
            <w:tcW w:w="0" w:type="auto"/>
            <w:hideMark/>
          </w:tcPr>
          <w:p w14:paraId="084833D4" w14:textId="77777777" w:rsidR="00BA4B92" w:rsidRPr="005F224C" w:rsidRDefault="00BA4B92" w:rsidP="00BA4B92">
            <w:pPr>
              <w:spacing w:after="160" w:line="278" w:lineRule="auto"/>
            </w:pPr>
            <w:r w:rsidRPr="005F224C">
              <w:t>Priority, Resources, and Training Methods</w:t>
            </w:r>
          </w:p>
        </w:tc>
        <w:tc>
          <w:tcPr>
            <w:tcW w:w="0" w:type="auto"/>
            <w:hideMark/>
          </w:tcPr>
          <w:p w14:paraId="54F90A0E" w14:textId="77777777" w:rsidR="00BA4B92" w:rsidRPr="005F224C" w:rsidRDefault="00BA4B92" w:rsidP="00BA4B92">
            <w:pPr>
              <w:spacing w:after="160" w:line="278" w:lineRule="auto"/>
            </w:pPr>
            <w:r w:rsidRPr="005F224C">
              <w:t>Timeframe</w:t>
            </w:r>
          </w:p>
        </w:tc>
        <w:tc>
          <w:tcPr>
            <w:tcW w:w="0" w:type="auto"/>
            <w:hideMark/>
          </w:tcPr>
          <w:p w14:paraId="7103A435" w14:textId="77777777" w:rsidR="00BA4B92" w:rsidRPr="005F224C" w:rsidRDefault="00BA4B92" w:rsidP="00BA4B92">
            <w:pPr>
              <w:spacing w:after="160" w:line="278" w:lineRule="auto"/>
            </w:pPr>
            <w:r w:rsidRPr="005F224C">
              <w:t>Success Criteria &amp; Follow-ups</w:t>
            </w:r>
          </w:p>
        </w:tc>
      </w:tr>
    </w:tbl>
    <w:p w14:paraId="5486D5CD" w14:textId="67595EAC" w:rsidR="00BA4B92" w:rsidRPr="005F224C" w:rsidRDefault="00BA4B92" w:rsidP="00BA4B92">
      <w:r w:rsidRPr="005F224C">
        <w:rPr>
          <w:b/>
          <w:bCs/>
        </w:rPr>
        <w:br/>
        <w:t>4. Knowledge Transfer Process</w:t>
      </w:r>
    </w:p>
    <w:p w14:paraId="53C4F555" w14:textId="77777777" w:rsidR="00BA4B92" w:rsidRPr="005F224C" w:rsidRDefault="00BA4B92" w:rsidP="00BA4B92">
      <w:r w:rsidRPr="005F224C">
        <w:t xml:space="preserve">4.1 </w:t>
      </w:r>
      <w:r w:rsidRPr="005F224C">
        <w:rPr>
          <w:b/>
          <w:bCs/>
        </w:rPr>
        <w:t>Identification of Key Knowledge Areas</w:t>
      </w:r>
    </w:p>
    <w:p w14:paraId="4604B23E" w14:textId="77777777" w:rsidR="00BA4B92" w:rsidRPr="005F224C" w:rsidRDefault="00BA4B92" w:rsidP="00BA4B92">
      <w:pPr>
        <w:numPr>
          <w:ilvl w:val="0"/>
          <w:numId w:val="1"/>
        </w:numPr>
      </w:pPr>
      <w:r w:rsidRPr="005F224C">
        <w:t>List critical knowledge, skills, and processes required for business continuity.</w:t>
      </w:r>
    </w:p>
    <w:p w14:paraId="3D36D1BC" w14:textId="77777777" w:rsidR="00BA4B92" w:rsidRPr="005F224C" w:rsidRDefault="00BA4B92" w:rsidP="00BA4B92">
      <w:pPr>
        <w:numPr>
          <w:ilvl w:val="0"/>
          <w:numId w:val="1"/>
        </w:numPr>
      </w:pPr>
      <w:r w:rsidRPr="005F224C">
        <w:t>Define the knowledge owner (departing employee) and recipients (successors or team members).</w:t>
      </w:r>
    </w:p>
    <w:p w14:paraId="7B18F1A2" w14:textId="77777777" w:rsidR="00BA4B92" w:rsidRPr="005F224C" w:rsidRDefault="00BA4B92" w:rsidP="00BA4B92">
      <w:r w:rsidRPr="005F224C">
        <w:t xml:space="preserve">4.2 </w:t>
      </w:r>
      <w:r w:rsidRPr="005F224C">
        <w:rPr>
          <w:b/>
          <w:bCs/>
        </w:rPr>
        <w:t>Documentation and Storage</w:t>
      </w:r>
    </w:p>
    <w:p w14:paraId="06FAD9FA" w14:textId="559CFC7D" w:rsidR="00BA4B92" w:rsidRPr="005F224C" w:rsidRDefault="00BA4B92" w:rsidP="00BA4B92">
      <w:pPr>
        <w:numPr>
          <w:ilvl w:val="0"/>
          <w:numId w:val="2"/>
        </w:numPr>
      </w:pPr>
      <w:r w:rsidRPr="005F224C">
        <w:t>Store critical documents in a shared, secure location (e.g</w:t>
      </w:r>
      <w:r w:rsidR="00290F93" w:rsidRPr="005F224C">
        <w:t>., OneDrive</w:t>
      </w:r>
      <w:r w:rsidRPr="005F224C">
        <w:t>).</w:t>
      </w:r>
    </w:p>
    <w:p w14:paraId="608904B0" w14:textId="77777777" w:rsidR="00BA4B92" w:rsidRPr="005F224C" w:rsidRDefault="00BA4B92" w:rsidP="00BA4B92">
      <w:pPr>
        <w:numPr>
          <w:ilvl w:val="0"/>
          <w:numId w:val="2"/>
        </w:numPr>
      </w:pPr>
      <w:r w:rsidRPr="005F224C">
        <w:t>Ensure access is controlled but available to authorized personnel.</w:t>
      </w:r>
    </w:p>
    <w:p w14:paraId="0385CEF9" w14:textId="77777777" w:rsidR="00BA4B92" w:rsidRPr="005F224C" w:rsidRDefault="00BA4B92" w:rsidP="00BA4B92">
      <w:r w:rsidRPr="005F224C">
        <w:t xml:space="preserve">4.3 </w:t>
      </w:r>
      <w:r w:rsidRPr="005F224C">
        <w:rPr>
          <w:b/>
          <w:bCs/>
        </w:rPr>
        <w:t>Training and Handover Methods</w:t>
      </w:r>
    </w:p>
    <w:p w14:paraId="3F61E3AC" w14:textId="77777777" w:rsidR="00BA4B92" w:rsidRPr="005F224C" w:rsidRDefault="00BA4B92" w:rsidP="00BA4B92">
      <w:pPr>
        <w:numPr>
          <w:ilvl w:val="0"/>
          <w:numId w:val="3"/>
        </w:numPr>
      </w:pPr>
      <w:r w:rsidRPr="005F224C">
        <w:t>Use structured documentation, one-on-one training sessions, and mentoring.</w:t>
      </w:r>
    </w:p>
    <w:p w14:paraId="296826AF" w14:textId="77777777" w:rsidR="00BA4B92" w:rsidRPr="005F224C" w:rsidRDefault="00BA4B92" w:rsidP="00BA4B92">
      <w:pPr>
        <w:numPr>
          <w:ilvl w:val="0"/>
          <w:numId w:val="3"/>
        </w:numPr>
      </w:pPr>
      <w:r w:rsidRPr="005F224C">
        <w:t>Provide step-by-step process guides, FAQs, and best practices.</w:t>
      </w:r>
    </w:p>
    <w:p w14:paraId="1BA0E251" w14:textId="77777777" w:rsidR="00BA4B92" w:rsidRPr="005F224C" w:rsidRDefault="00BA4B92" w:rsidP="00BA4B92">
      <w:pPr>
        <w:numPr>
          <w:ilvl w:val="0"/>
          <w:numId w:val="3"/>
        </w:numPr>
      </w:pPr>
      <w:r w:rsidRPr="005F224C">
        <w:t>Conduct live demonstrations and recorded sessions where applicable.</w:t>
      </w:r>
    </w:p>
    <w:p w14:paraId="0616EFA2" w14:textId="77777777" w:rsidR="00BA4B92" w:rsidRPr="005F224C" w:rsidRDefault="00BA4B92" w:rsidP="00BA4B92">
      <w:r w:rsidRPr="005F224C">
        <w:t xml:space="preserve">4.4 </w:t>
      </w:r>
      <w:r w:rsidRPr="005F224C">
        <w:rPr>
          <w:b/>
          <w:bCs/>
        </w:rPr>
        <w:t>Timeframe and Deadline</w:t>
      </w:r>
    </w:p>
    <w:p w14:paraId="38F3C1CA" w14:textId="471B4703" w:rsidR="00BA4B92" w:rsidRPr="005F224C" w:rsidRDefault="00BA4B92" w:rsidP="00BA4B92">
      <w:pPr>
        <w:numPr>
          <w:ilvl w:val="0"/>
          <w:numId w:val="4"/>
        </w:numPr>
      </w:pPr>
      <w:r w:rsidRPr="005F224C">
        <w:t xml:space="preserve">Set a clear timeline based on the employee’s departure date (e.g., a </w:t>
      </w:r>
      <w:r w:rsidR="00290F93" w:rsidRPr="005F224C">
        <w:t>1</w:t>
      </w:r>
      <w:r w:rsidRPr="005F224C">
        <w:t>-month transition period).</w:t>
      </w:r>
    </w:p>
    <w:p w14:paraId="7A5E351A" w14:textId="77777777" w:rsidR="00BA4B92" w:rsidRPr="005F224C" w:rsidRDefault="00BA4B92" w:rsidP="00BA4B92">
      <w:pPr>
        <w:numPr>
          <w:ilvl w:val="0"/>
          <w:numId w:val="4"/>
        </w:numPr>
      </w:pPr>
      <w:r w:rsidRPr="005F224C">
        <w:lastRenderedPageBreak/>
        <w:t>Define milestones for knowledge transfer checkpoints.</w:t>
      </w:r>
    </w:p>
    <w:p w14:paraId="0B2814AB" w14:textId="77777777" w:rsidR="00BA4B92" w:rsidRPr="005F224C" w:rsidRDefault="00BA4B92" w:rsidP="00BA4B92">
      <w:r w:rsidRPr="005F224C">
        <w:t xml:space="preserve">4.5 </w:t>
      </w:r>
      <w:r w:rsidRPr="005F224C">
        <w:rPr>
          <w:b/>
          <w:bCs/>
        </w:rPr>
        <w:t>Validation and Follow-up</w:t>
      </w:r>
    </w:p>
    <w:p w14:paraId="1BAD9F18" w14:textId="77777777" w:rsidR="00BA4B92" w:rsidRPr="005F224C" w:rsidRDefault="00BA4B92" w:rsidP="00BA4B92">
      <w:pPr>
        <w:numPr>
          <w:ilvl w:val="0"/>
          <w:numId w:val="5"/>
        </w:numPr>
      </w:pPr>
      <w:r w:rsidRPr="005F224C">
        <w:t>Conduct Q&amp;A sessions, team discussions, and periodic reviews to ensure knowledge retention.</w:t>
      </w:r>
    </w:p>
    <w:p w14:paraId="6EBD0D52" w14:textId="77777777" w:rsidR="00BA4B92" w:rsidRPr="005F224C" w:rsidRDefault="00BA4B92" w:rsidP="00BA4B92">
      <w:pPr>
        <w:numPr>
          <w:ilvl w:val="0"/>
          <w:numId w:val="5"/>
        </w:numPr>
      </w:pPr>
      <w:r w:rsidRPr="005F224C">
        <w:t>Use assessments or feedback forms to measure understanding.</w:t>
      </w:r>
    </w:p>
    <w:p w14:paraId="65B4E611" w14:textId="53678783" w:rsidR="00290F93" w:rsidRPr="005F224C" w:rsidRDefault="00BA4B92" w:rsidP="00BA4B92">
      <w:pPr>
        <w:numPr>
          <w:ilvl w:val="0"/>
          <w:numId w:val="5"/>
        </w:numPr>
      </w:pPr>
      <w:r w:rsidRPr="005F224C">
        <w:t>Ensure new knowledge owners can locate and apply transferred knowledge effectively.</w:t>
      </w:r>
    </w:p>
    <w:p w14:paraId="67EB0DF0" w14:textId="204E6CA4" w:rsidR="00BA4B92" w:rsidRPr="005F224C" w:rsidRDefault="00BA4B92" w:rsidP="00BA4B92">
      <w:r w:rsidRPr="005F224C">
        <w:rPr>
          <w:b/>
          <w:bCs/>
        </w:rPr>
        <w:t>5. Roles &amp; Responsibilities</w:t>
      </w:r>
    </w:p>
    <w:p w14:paraId="3F82A261" w14:textId="77777777" w:rsidR="00BA4B92" w:rsidRPr="005F224C" w:rsidRDefault="00BA4B92" w:rsidP="00BA4B92">
      <w:pPr>
        <w:numPr>
          <w:ilvl w:val="0"/>
          <w:numId w:val="6"/>
        </w:numPr>
      </w:pPr>
      <w:r w:rsidRPr="005F224C">
        <w:rPr>
          <w:b/>
          <w:bCs/>
        </w:rPr>
        <w:t>Knowledge Owner (Departing Employee):</w:t>
      </w:r>
      <w:r w:rsidRPr="005F224C">
        <w:t xml:space="preserve"> Responsible for sharing knowledge through documentation and training.</w:t>
      </w:r>
    </w:p>
    <w:p w14:paraId="119C3630" w14:textId="77777777" w:rsidR="00BA4B92" w:rsidRPr="005F224C" w:rsidRDefault="00BA4B92" w:rsidP="00BA4B92">
      <w:pPr>
        <w:numPr>
          <w:ilvl w:val="0"/>
          <w:numId w:val="6"/>
        </w:numPr>
      </w:pPr>
      <w:r w:rsidRPr="005F224C">
        <w:rPr>
          <w:b/>
          <w:bCs/>
        </w:rPr>
        <w:t>Knowledge Recipient:</w:t>
      </w:r>
      <w:r w:rsidRPr="005F224C">
        <w:t xml:space="preserve"> Ensures understanding and absorption of knowledge.</w:t>
      </w:r>
    </w:p>
    <w:p w14:paraId="30D785D6" w14:textId="39A37453" w:rsidR="00BA4B92" w:rsidRPr="005F224C" w:rsidRDefault="00290F93" w:rsidP="00BA4B92">
      <w:pPr>
        <w:numPr>
          <w:ilvl w:val="0"/>
          <w:numId w:val="6"/>
        </w:numPr>
      </w:pPr>
      <w:r w:rsidRPr="005F224C">
        <w:rPr>
          <w:b/>
          <w:bCs/>
        </w:rPr>
        <w:t>Senior Engineer</w:t>
      </w:r>
      <w:r w:rsidR="005F16C0">
        <w:rPr>
          <w:b/>
          <w:bCs/>
        </w:rPr>
        <w:t xml:space="preserve"> and CEO</w:t>
      </w:r>
      <w:r w:rsidR="00BA4B92" w:rsidRPr="005F224C">
        <w:rPr>
          <w:b/>
          <w:bCs/>
        </w:rPr>
        <w:t>:</w:t>
      </w:r>
      <w:r w:rsidR="00BA4B92" w:rsidRPr="005F224C">
        <w:t xml:space="preserve"> Facilitates and monitors the knowledge transfer process.</w:t>
      </w:r>
    </w:p>
    <w:p w14:paraId="56013A56" w14:textId="77777777" w:rsidR="00BA4B92" w:rsidRPr="005F224C" w:rsidRDefault="00BA4B92" w:rsidP="00BA4B92">
      <w:r w:rsidRPr="005F224C">
        <w:rPr>
          <w:b/>
          <w:bCs/>
        </w:rPr>
        <w:t>6. Success Criteria</w:t>
      </w:r>
    </w:p>
    <w:p w14:paraId="0827D215" w14:textId="77777777" w:rsidR="00BA4B92" w:rsidRPr="005F224C" w:rsidRDefault="00BA4B92" w:rsidP="00BA4B92">
      <w:pPr>
        <w:numPr>
          <w:ilvl w:val="0"/>
          <w:numId w:val="7"/>
        </w:numPr>
      </w:pPr>
      <w:r w:rsidRPr="005F224C">
        <w:t>Knowledge recipient demonstrates a clear understanding of the tasks and processes.</w:t>
      </w:r>
    </w:p>
    <w:p w14:paraId="7AB32520" w14:textId="77777777" w:rsidR="00BA4B92" w:rsidRPr="005F224C" w:rsidRDefault="00BA4B92" w:rsidP="00BA4B92">
      <w:pPr>
        <w:numPr>
          <w:ilvl w:val="0"/>
          <w:numId w:val="7"/>
        </w:numPr>
      </w:pPr>
      <w:r w:rsidRPr="005F224C">
        <w:t>Critical knowledge is documented and stored in an accessible location.</w:t>
      </w:r>
    </w:p>
    <w:p w14:paraId="45A430FD" w14:textId="77777777" w:rsidR="00BA4B92" w:rsidRPr="005F224C" w:rsidRDefault="00BA4B92" w:rsidP="00BA4B92">
      <w:pPr>
        <w:numPr>
          <w:ilvl w:val="0"/>
          <w:numId w:val="7"/>
        </w:numPr>
      </w:pPr>
      <w:r w:rsidRPr="005F224C">
        <w:t>Teams continue to operate efficiently without major disruptions post-transition.</w:t>
      </w:r>
    </w:p>
    <w:p w14:paraId="46F83732" w14:textId="77777777" w:rsidR="00BA4B92" w:rsidRPr="005F224C" w:rsidRDefault="00BA4B92" w:rsidP="00BA4B92">
      <w:r w:rsidRPr="005F224C">
        <w:rPr>
          <w:b/>
          <w:bCs/>
        </w:rPr>
        <w:t>7. Continuous Improvement</w:t>
      </w:r>
    </w:p>
    <w:p w14:paraId="593F1CAD" w14:textId="4C608462" w:rsidR="00BA4B92" w:rsidRPr="005F224C" w:rsidRDefault="00BA4B92" w:rsidP="00BA4B92">
      <w:pPr>
        <w:jc w:val="both"/>
      </w:pPr>
      <w:r w:rsidRPr="005F224C">
        <w:t xml:space="preserve">The Quality </w:t>
      </w:r>
      <w:r w:rsidR="005F16C0">
        <w:t>Manager</w:t>
      </w:r>
      <w:r w:rsidRPr="005F224C">
        <w:t xml:space="preserve">, in collaboration with </w:t>
      </w:r>
      <w:r w:rsidR="005F16C0">
        <w:t>Top</w:t>
      </w:r>
      <w:r w:rsidRPr="005F224C">
        <w:t xml:space="preserve"> management, will review the knowledge transfer process annually to ensure its effectiveness. Employee feedback will be collected periodically to identify potential areas for improvement. Any significant gaps in knowledge retention will be addressed through updated procedures, additional training, or enhanced documentation efforts. By continuously refining the knowledge transfer protocol, the company will foster a culture of learning and ensure business continuity even during transitions.</w:t>
      </w:r>
    </w:p>
    <w:p w14:paraId="43609B6D" w14:textId="77777777" w:rsidR="00400396" w:rsidRPr="00BA4B92" w:rsidRDefault="00400396">
      <w:pPr>
        <w:rPr>
          <w:rFonts w:ascii="Cambria" w:hAnsi="Cambria"/>
          <w:sz w:val="20"/>
          <w:szCs w:val="20"/>
        </w:rPr>
      </w:pPr>
    </w:p>
    <w:sectPr w:rsidR="00400396" w:rsidRPr="00BA4B92" w:rsidSect="00394B4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A5E37" w14:textId="77777777" w:rsidR="0013595F" w:rsidRDefault="0013595F" w:rsidP="00BA4B92">
      <w:pPr>
        <w:spacing w:after="0" w:line="240" w:lineRule="auto"/>
      </w:pPr>
      <w:r>
        <w:separator/>
      </w:r>
    </w:p>
  </w:endnote>
  <w:endnote w:type="continuationSeparator" w:id="0">
    <w:p w14:paraId="7B4F4781" w14:textId="77777777" w:rsidR="0013595F" w:rsidRDefault="0013595F" w:rsidP="00BA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20EEC" w14:textId="77777777" w:rsidR="0013595F" w:rsidRDefault="0013595F" w:rsidP="00BA4B92">
      <w:pPr>
        <w:spacing w:after="0" w:line="240" w:lineRule="auto"/>
      </w:pPr>
      <w:r>
        <w:separator/>
      </w:r>
    </w:p>
  </w:footnote>
  <w:footnote w:type="continuationSeparator" w:id="0">
    <w:p w14:paraId="11F277E6" w14:textId="77777777" w:rsidR="0013595F" w:rsidRDefault="0013595F" w:rsidP="00BA4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63" w:type="dxa"/>
      <w:tblInd w:w="-34" w:type="dxa"/>
      <w:tblBorders>
        <w:bottom w:val="single" w:sz="4" w:space="0" w:color="808080" w:themeColor="background1" w:themeShade="80"/>
      </w:tblBorders>
      <w:tblLayout w:type="fixed"/>
      <w:tblLook w:val="01E0" w:firstRow="1" w:lastRow="1" w:firstColumn="1" w:lastColumn="1" w:noHBand="0" w:noVBand="0"/>
    </w:tblPr>
    <w:tblGrid>
      <w:gridCol w:w="3628"/>
      <w:gridCol w:w="6035"/>
    </w:tblGrid>
    <w:tr w:rsidR="00394B4E" w:rsidRPr="00E119F4" w14:paraId="7E0AC8B7" w14:textId="77777777" w:rsidTr="00280834">
      <w:trPr>
        <w:trHeight w:hRule="exact" w:val="498"/>
      </w:trPr>
      <w:tc>
        <w:tcPr>
          <w:tcW w:w="3628" w:type="dxa"/>
          <w:vMerge w:val="restart"/>
          <w:vAlign w:val="center"/>
        </w:tcPr>
        <w:p w14:paraId="283AF2EE" w14:textId="77777777" w:rsidR="00394B4E" w:rsidRPr="004C1A3F" w:rsidRDefault="00394B4E" w:rsidP="00394B4E">
          <w:pPr>
            <w:pStyle w:val="Footer"/>
          </w:pPr>
          <w:r>
            <w:rPr>
              <w:noProof/>
              <w:bdr w:val="none" w:sz="0" w:space="0" w:color="auto" w:frame="1"/>
            </w:rPr>
            <w:drawing>
              <wp:inline distT="0" distB="0" distL="0" distR="0" wp14:anchorId="50908750" wp14:editId="53A3F921">
                <wp:extent cx="2381250" cy="659018"/>
                <wp:effectExtent l="0" t="0" r="0" b="0"/>
                <wp:docPr id="1681130279"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5192" cy="660109"/>
                        </a:xfrm>
                        <a:prstGeom prst="rect">
                          <a:avLst/>
                        </a:prstGeom>
                        <a:noFill/>
                        <a:ln>
                          <a:noFill/>
                        </a:ln>
                      </pic:spPr>
                    </pic:pic>
                  </a:graphicData>
                </a:graphic>
              </wp:inline>
            </w:drawing>
          </w:r>
        </w:p>
      </w:tc>
      <w:tc>
        <w:tcPr>
          <w:tcW w:w="6035" w:type="dxa"/>
          <w:vAlign w:val="center"/>
        </w:tcPr>
        <w:p w14:paraId="788652B9" w14:textId="77777777" w:rsidR="00394B4E" w:rsidRDefault="00394B4E" w:rsidP="00394B4E">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5420813C" w14:textId="77777777" w:rsidR="00394B4E" w:rsidRPr="00745BBC" w:rsidRDefault="00394B4E" w:rsidP="00394B4E">
          <w:pPr>
            <w:pStyle w:val="Footer"/>
            <w:jc w:val="right"/>
            <w:rPr>
              <w:rStyle w:val="PageNumber"/>
              <w:sz w:val="18"/>
              <w:szCs w:val="16"/>
            </w:rPr>
          </w:pPr>
        </w:p>
      </w:tc>
    </w:tr>
    <w:tr w:rsidR="00394B4E" w:rsidRPr="00E119F4" w14:paraId="23C4D0F2" w14:textId="77777777" w:rsidTr="00280834">
      <w:trPr>
        <w:trHeight w:hRule="exact" w:val="445"/>
      </w:trPr>
      <w:tc>
        <w:tcPr>
          <w:tcW w:w="3628" w:type="dxa"/>
          <w:vMerge/>
          <w:vAlign w:val="center"/>
        </w:tcPr>
        <w:p w14:paraId="7EC30039" w14:textId="77777777" w:rsidR="00394B4E" w:rsidRPr="00745BBC" w:rsidRDefault="00394B4E" w:rsidP="00394B4E">
          <w:pPr>
            <w:pStyle w:val="Footer"/>
          </w:pPr>
        </w:p>
      </w:tc>
      <w:tc>
        <w:tcPr>
          <w:tcW w:w="6035" w:type="dxa"/>
          <w:vAlign w:val="center"/>
        </w:tcPr>
        <w:p w14:paraId="19EC92B4" w14:textId="3E379D9D" w:rsidR="00394B4E" w:rsidRPr="00D1480E" w:rsidRDefault="005F224C" w:rsidP="00394B4E">
          <w:pPr>
            <w:pStyle w:val="Header"/>
            <w:tabs>
              <w:tab w:val="left" w:pos="2580"/>
              <w:tab w:val="left" w:pos="2985"/>
            </w:tabs>
            <w:jc w:val="right"/>
            <w:rPr>
              <w:rFonts w:ascii="Arial" w:hAnsi="Arial"/>
              <w:b/>
              <w:color w:val="156082" w:themeColor="accent1"/>
            </w:rPr>
          </w:pPr>
          <w:r>
            <w:rPr>
              <w:rFonts w:ascii="Arial" w:hAnsi="Arial"/>
              <w:b/>
              <w:color w:val="156082" w:themeColor="accent1"/>
            </w:rPr>
            <w:t>Knowledge Transfer Protocol</w:t>
          </w:r>
        </w:p>
      </w:tc>
    </w:tr>
  </w:tbl>
  <w:p w14:paraId="5D784470" w14:textId="77777777" w:rsidR="00BA4B92" w:rsidRDefault="00BA4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1B39"/>
    <w:multiLevelType w:val="multilevel"/>
    <w:tmpl w:val="0070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12FE"/>
    <w:multiLevelType w:val="multilevel"/>
    <w:tmpl w:val="C29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10D86"/>
    <w:multiLevelType w:val="multilevel"/>
    <w:tmpl w:val="F36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02AF"/>
    <w:multiLevelType w:val="multilevel"/>
    <w:tmpl w:val="59C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A3524"/>
    <w:multiLevelType w:val="multilevel"/>
    <w:tmpl w:val="ED9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E3BD1"/>
    <w:multiLevelType w:val="multilevel"/>
    <w:tmpl w:val="E47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B008A"/>
    <w:multiLevelType w:val="multilevel"/>
    <w:tmpl w:val="AC6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C5A62"/>
    <w:multiLevelType w:val="multilevel"/>
    <w:tmpl w:val="397C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01624">
    <w:abstractNumId w:val="2"/>
  </w:num>
  <w:num w:numId="2" w16cid:durableId="1421439641">
    <w:abstractNumId w:val="3"/>
  </w:num>
  <w:num w:numId="3" w16cid:durableId="2064327859">
    <w:abstractNumId w:val="0"/>
  </w:num>
  <w:num w:numId="4" w16cid:durableId="700011258">
    <w:abstractNumId w:val="1"/>
  </w:num>
  <w:num w:numId="5" w16cid:durableId="602154572">
    <w:abstractNumId w:val="4"/>
  </w:num>
  <w:num w:numId="6" w16cid:durableId="109908554">
    <w:abstractNumId w:val="5"/>
  </w:num>
  <w:num w:numId="7" w16cid:durableId="394742765">
    <w:abstractNumId w:val="6"/>
  </w:num>
  <w:num w:numId="8" w16cid:durableId="324481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2"/>
    <w:rsid w:val="00017DB2"/>
    <w:rsid w:val="0013595F"/>
    <w:rsid w:val="00290F93"/>
    <w:rsid w:val="00394B4E"/>
    <w:rsid w:val="00400396"/>
    <w:rsid w:val="005F16C0"/>
    <w:rsid w:val="005F224C"/>
    <w:rsid w:val="00612E14"/>
    <w:rsid w:val="00685CC5"/>
    <w:rsid w:val="006C3F3D"/>
    <w:rsid w:val="007D3673"/>
    <w:rsid w:val="00823669"/>
    <w:rsid w:val="00BA4B92"/>
    <w:rsid w:val="00DB0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2F27"/>
  <w15:chartTrackingRefBased/>
  <w15:docId w15:val="{4551D33A-1D43-4A26-960A-3FBD034E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B92"/>
    <w:rPr>
      <w:rFonts w:eastAsiaTheme="majorEastAsia" w:cstheme="majorBidi"/>
      <w:color w:val="272727" w:themeColor="text1" w:themeTint="D8"/>
    </w:rPr>
  </w:style>
  <w:style w:type="paragraph" w:styleId="Title">
    <w:name w:val="Title"/>
    <w:basedOn w:val="Normal"/>
    <w:next w:val="Normal"/>
    <w:link w:val="TitleChar"/>
    <w:uiPriority w:val="10"/>
    <w:qFormat/>
    <w:rsid w:val="00BA4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B92"/>
    <w:pPr>
      <w:spacing w:before="160"/>
      <w:jc w:val="center"/>
    </w:pPr>
    <w:rPr>
      <w:i/>
      <w:iCs/>
      <w:color w:val="404040" w:themeColor="text1" w:themeTint="BF"/>
    </w:rPr>
  </w:style>
  <w:style w:type="character" w:customStyle="1" w:styleId="QuoteChar">
    <w:name w:val="Quote Char"/>
    <w:basedOn w:val="DefaultParagraphFont"/>
    <w:link w:val="Quote"/>
    <w:uiPriority w:val="29"/>
    <w:rsid w:val="00BA4B92"/>
    <w:rPr>
      <w:i/>
      <w:iCs/>
      <w:color w:val="404040" w:themeColor="text1" w:themeTint="BF"/>
    </w:rPr>
  </w:style>
  <w:style w:type="paragraph" w:styleId="ListParagraph">
    <w:name w:val="List Paragraph"/>
    <w:basedOn w:val="Normal"/>
    <w:uiPriority w:val="34"/>
    <w:qFormat/>
    <w:rsid w:val="00BA4B92"/>
    <w:pPr>
      <w:ind w:left="720"/>
      <w:contextualSpacing/>
    </w:pPr>
  </w:style>
  <w:style w:type="character" w:styleId="IntenseEmphasis">
    <w:name w:val="Intense Emphasis"/>
    <w:basedOn w:val="DefaultParagraphFont"/>
    <w:uiPriority w:val="21"/>
    <w:qFormat/>
    <w:rsid w:val="00BA4B92"/>
    <w:rPr>
      <w:i/>
      <w:iCs/>
      <w:color w:val="0F4761" w:themeColor="accent1" w:themeShade="BF"/>
    </w:rPr>
  </w:style>
  <w:style w:type="paragraph" w:styleId="IntenseQuote">
    <w:name w:val="Intense Quote"/>
    <w:basedOn w:val="Normal"/>
    <w:next w:val="Normal"/>
    <w:link w:val="IntenseQuoteChar"/>
    <w:uiPriority w:val="30"/>
    <w:qFormat/>
    <w:rsid w:val="00BA4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B92"/>
    <w:rPr>
      <w:i/>
      <w:iCs/>
      <w:color w:val="0F4761" w:themeColor="accent1" w:themeShade="BF"/>
    </w:rPr>
  </w:style>
  <w:style w:type="character" w:styleId="IntenseReference">
    <w:name w:val="Intense Reference"/>
    <w:basedOn w:val="DefaultParagraphFont"/>
    <w:uiPriority w:val="32"/>
    <w:qFormat/>
    <w:rsid w:val="00BA4B92"/>
    <w:rPr>
      <w:b/>
      <w:bCs/>
      <w:smallCaps/>
      <w:color w:val="0F4761" w:themeColor="accent1" w:themeShade="BF"/>
      <w:spacing w:val="5"/>
    </w:rPr>
  </w:style>
  <w:style w:type="table" w:styleId="TableGrid">
    <w:name w:val="Table Grid"/>
    <w:basedOn w:val="TableNormal"/>
    <w:rsid w:val="00BA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B92"/>
  </w:style>
  <w:style w:type="paragraph" w:styleId="Footer">
    <w:name w:val="footer"/>
    <w:basedOn w:val="Normal"/>
    <w:link w:val="FooterChar"/>
    <w:unhideWhenUsed/>
    <w:rsid w:val="00BA4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B92"/>
  </w:style>
  <w:style w:type="paragraph" w:styleId="TOC1">
    <w:name w:val="toc 1"/>
    <w:basedOn w:val="Normal"/>
    <w:next w:val="Normal"/>
    <w:autoRedefine/>
    <w:uiPriority w:val="39"/>
    <w:semiHidden/>
    <w:unhideWhenUsed/>
    <w:qFormat/>
    <w:rsid w:val="00685CC5"/>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character" w:customStyle="1" w:styleId="NoSpacingChar">
    <w:name w:val="No Spacing Char"/>
    <w:basedOn w:val="DefaultParagraphFont"/>
    <w:link w:val="NoSpacing"/>
    <w:locked/>
    <w:rsid w:val="00685CC5"/>
    <w:rPr>
      <w:rFonts w:ascii="Calibri" w:eastAsia="Times New Roman" w:hAnsi="Calibri" w:cs="Times New Roman"/>
      <w:color w:val="0A1D30" w:themeColor="text2" w:themeShade="BF"/>
      <w:kern w:val="0"/>
      <w:sz w:val="20"/>
      <w:szCs w:val="22"/>
      <w:lang w:val="en-US"/>
      <w14:ligatures w14:val="none"/>
    </w:rPr>
  </w:style>
  <w:style w:type="paragraph" w:styleId="NoSpacing">
    <w:name w:val="No Spacing"/>
    <w:link w:val="NoSpacingChar"/>
    <w:qFormat/>
    <w:rsid w:val="00685CC5"/>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character" w:styleId="PageNumber">
    <w:name w:val="page number"/>
    <w:basedOn w:val="DefaultParagraphFont"/>
    <w:rsid w:val="0039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28318">
      <w:bodyDiv w:val="1"/>
      <w:marLeft w:val="0"/>
      <w:marRight w:val="0"/>
      <w:marTop w:val="0"/>
      <w:marBottom w:val="0"/>
      <w:divBdr>
        <w:top w:val="none" w:sz="0" w:space="0" w:color="auto"/>
        <w:left w:val="none" w:sz="0" w:space="0" w:color="auto"/>
        <w:bottom w:val="none" w:sz="0" w:space="0" w:color="auto"/>
        <w:right w:val="none" w:sz="0" w:space="0" w:color="auto"/>
      </w:divBdr>
    </w:div>
    <w:div w:id="1286883961">
      <w:bodyDiv w:val="1"/>
      <w:marLeft w:val="0"/>
      <w:marRight w:val="0"/>
      <w:marTop w:val="0"/>
      <w:marBottom w:val="0"/>
      <w:divBdr>
        <w:top w:val="none" w:sz="0" w:space="0" w:color="auto"/>
        <w:left w:val="none" w:sz="0" w:space="0" w:color="auto"/>
        <w:bottom w:val="none" w:sz="0" w:space="0" w:color="auto"/>
        <w:right w:val="none" w:sz="0" w:space="0" w:color="auto"/>
      </w:divBdr>
    </w:div>
    <w:div w:id="1403140445">
      <w:bodyDiv w:val="1"/>
      <w:marLeft w:val="0"/>
      <w:marRight w:val="0"/>
      <w:marTop w:val="0"/>
      <w:marBottom w:val="0"/>
      <w:divBdr>
        <w:top w:val="none" w:sz="0" w:space="0" w:color="auto"/>
        <w:left w:val="none" w:sz="0" w:space="0" w:color="auto"/>
        <w:bottom w:val="none" w:sz="0" w:space="0" w:color="auto"/>
        <w:right w:val="none" w:sz="0" w:space="0" w:color="auto"/>
      </w:divBdr>
    </w:div>
    <w:div w:id="1804957437">
      <w:bodyDiv w:val="1"/>
      <w:marLeft w:val="0"/>
      <w:marRight w:val="0"/>
      <w:marTop w:val="0"/>
      <w:marBottom w:val="0"/>
      <w:divBdr>
        <w:top w:val="none" w:sz="0" w:space="0" w:color="auto"/>
        <w:left w:val="none" w:sz="0" w:space="0" w:color="auto"/>
        <w:bottom w:val="none" w:sz="0" w:space="0" w:color="auto"/>
        <w:right w:val="none" w:sz="0" w:space="0" w:color="auto"/>
      </w:divBdr>
    </w:div>
    <w:div w:id="208151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7</cp:revision>
  <dcterms:created xsi:type="dcterms:W3CDTF">2025-03-05T16:57:00Z</dcterms:created>
  <dcterms:modified xsi:type="dcterms:W3CDTF">2025-04-08T11:20:00Z</dcterms:modified>
</cp:coreProperties>
</file>