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AD759E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AD759E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AD759E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AD759E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AD759E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AD759E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AD759E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AD759E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AD759E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48677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039"/>
        </w:trPr>
        <w:tc>
          <w:tcPr>
            <w:tcW w:w="1608" w:type="dxa"/>
            <w:vAlign w:val="center"/>
          </w:tcPr>
          <w:p w14:paraId="285977BE" w14:textId="1D7469A5" w:rsidR="00D20C7E" w:rsidRPr="00D20C7E" w:rsidRDefault="00F3404A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F3404A">
              <w:rPr>
                <w:rFonts w:cs="Segoe UI"/>
                <w:sz w:val="18"/>
                <w:szCs w:val="14"/>
              </w:rPr>
              <w:t>Establish the strategic direction of your company</w:t>
            </w:r>
          </w:p>
        </w:tc>
        <w:tc>
          <w:tcPr>
            <w:tcW w:w="3685" w:type="dxa"/>
            <w:vAlign w:val="center"/>
          </w:tcPr>
          <w:p w14:paraId="6A596934" w14:textId="77777777" w:rsidR="0048677E" w:rsidRDefault="0048677E" w:rsidP="0048677E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48677E">
              <w:rPr>
                <w:rFonts w:cs="Segoe UI"/>
                <w:sz w:val="18"/>
                <w:szCs w:val="14"/>
              </w:rPr>
              <w:t xml:space="preserve">Your organization should establish, review and document its vision; consistent with its mission, to identify the strategic directions and interested party requirements consistent to its context. </w:t>
            </w:r>
          </w:p>
          <w:p w14:paraId="5C84F36C" w14:textId="77777777" w:rsidR="0048677E" w:rsidRDefault="0048677E" w:rsidP="0048677E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2B4F9490" w14:textId="737B5DEF" w:rsidR="0048677E" w:rsidRDefault="0048677E" w:rsidP="0048677E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48677E">
              <w:rPr>
                <w:rFonts w:cs="Segoe UI"/>
                <w:sz w:val="18"/>
                <w:szCs w:val="14"/>
              </w:rPr>
              <w:t xml:space="preserve">Ensure that any risks and opportunities arising are captured using the risk and opportunity register. </w:t>
            </w:r>
          </w:p>
          <w:p w14:paraId="5ECF99A6" w14:textId="77777777" w:rsidR="0048677E" w:rsidRPr="0048677E" w:rsidRDefault="0048677E" w:rsidP="0048677E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B537DD5" w14:textId="27031E39" w:rsidR="00D20C7E" w:rsidRPr="00D20C7E" w:rsidRDefault="0048677E" w:rsidP="0048677E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48677E">
              <w:rPr>
                <w:rFonts w:cs="Segoe UI"/>
                <w:sz w:val="18"/>
                <w:szCs w:val="14"/>
              </w:rPr>
              <w:t>The scope must set out what your company does and what products and/or services it delivers, in consideration of its contextual awareness.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F271AF" w14:textId="77777777" w:rsidR="00230B2E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Top Management</w:t>
            </w:r>
          </w:p>
          <w:p w14:paraId="1D0F04A3" w14:textId="42DE9C5C" w:rsidR="00D20C7E" w:rsidRPr="0048677E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Management Representative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379BE" w14:textId="703F2557" w:rsidR="00512F6A" w:rsidRDefault="0048677E" w:rsidP="00DD02EF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Internal and external issues identified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1791D36D" w14:textId="1DCD974C" w:rsidR="0048677E" w:rsidRDefault="00F3404A" w:rsidP="00831AEC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F3404A">
              <w:rPr>
                <w:rFonts w:cs="Segoe UI"/>
                <w:sz w:val="18"/>
                <w:szCs w:val="14"/>
              </w:rPr>
              <w:t xml:space="preserve">SWOT </w:t>
            </w:r>
            <w:r w:rsidR="0048677E">
              <w:rPr>
                <w:rFonts w:cs="Segoe UI"/>
                <w:sz w:val="18"/>
                <w:szCs w:val="14"/>
              </w:rPr>
              <w:t>analysis for internal issues</w:t>
            </w:r>
          </w:p>
          <w:p w14:paraId="5068BC96" w14:textId="77777777" w:rsidR="0048677E" w:rsidRDefault="0048677E" w:rsidP="0048677E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67BE5A83" w14:textId="14F49F48" w:rsidR="00512F6A" w:rsidRDefault="00F3404A" w:rsidP="00831AEC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F3404A">
              <w:rPr>
                <w:rFonts w:cs="Segoe UI"/>
                <w:sz w:val="18"/>
                <w:szCs w:val="14"/>
              </w:rPr>
              <w:t xml:space="preserve">PESTLE </w:t>
            </w:r>
            <w:r w:rsidR="0048677E">
              <w:rPr>
                <w:rFonts w:cs="Segoe UI"/>
                <w:sz w:val="18"/>
                <w:szCs w:val="14"/>
              </w:rPr>
              <w:t>a</w:t>
            </w:r>
            <w:r w:rsidRPr="00F3404A">
              <w:rPr>
                <w:rFonts w:cs="Segoe UI"/>
                <w:sz w:val="18"/>
                <w:szCs w:val="14"/>
              </w:rPr>
              <w:t>nalysis</w:t>
            </w:r>
            <w:r w:rsidR="0048677E">
              <w:rPr>
                <w:rFonts w:cs="Segoe UI"/>
                <w:sz w:val="18"/>
                <w:szCs w:val="14"/>
              </w:rPr>
              <w:t xml:space="preserve"> for external issues</w:t>
            </w:r>
          </w:p>
          <w:p w14:paraId="2385FDF3" w14:textId="77777777" w:rsidR="00F3404A" w:rsidRPr="00F3404A" w:rsidRDefault="00F3404A" w:rsidP="00F3404A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3305D45A" w14:textId="77777777" w:rsidR="00D20C7E" w:rsidRPr="00F3404A" w:rsidRDefault="00F3404A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F3404A">
              <w:rPr>
                <w:rFonts w:cs="Segoe UI"/>
                <w:sz w:val="18"/>
                <w:szCs w:val="14"/>
              </w:rPr>
              <w:t>Risk and opportunity register</w:t>
            </w:r>
          </w:p>
          <w:p w14:paraId="01B04D0D" w14:textId="77777777" w:rsidR="00F3404A" w:rsidRDefault="00F3404A" w:rsidP="00F3404A">
            <w:pPr>
              <w:pStyle w:val="ListParagraph"/>
              <w:rPr>
                <w:sz w:val="18"/>
                <w:szCs w:val="14"/>
              </w:rPr>
            </w:pPr>
          </w:p>
          <w:p w14:paraId="643193CA" w14:textId="199585AE" w:rsidR="00F3404A" w:rsidRPr="00D20C7E" w:rsidRDefault="00F3404A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F3404A">
              <w:rPr>
                <w:sz w:val="18"/>
                <w:szCs w:val="14"/>
              </w:rPr>
              <w:t xml:space="preserve">Quality </w:t>
            </w:r>
            <w:r w:rsidR="0048677E">
              <w:rPr>
                <w:sz w:val="18"/>
                <w:szCs w:val="14"/>
              </w:rPr>
              <w:t>system</w:t>
            </w:r>
            <w:r w:rsidRPr="00F3404A">
              <w:rPr>
                <w:sz w:val="18"/>
                <w:szCs w:val="14"/>
              </w:rPr>
              <w:t xml:space="preserve"> scope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AD759E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AD759E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AD759E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AD759E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AD759E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CF56DA" w:rsidRPr="00D20C7E" w14:paraId="4BE59FDE" w14:textId="77777777" w:rsidTr="00CF56DA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1135"/>
        </w:trPr>
        <w:tc>
          <w:tcPr>
            <w:tcW w:w="5293" w:type="dxa"/>
            <w:shd w:val="clear" w:color="auto" w:fill="auto"/>
            <w:vAlign w:val="center"/>
          </w:tcPr>
          <w:p w14:paraId="036E7A1F" w14:textId="4E269637" w:rsidR="00CF56DA" w:rsidRPr="00632B9D" w:rsidRDefault="00CF56DA" w:rsidP="00CF56DA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CF56DA">
              <w:rPr>
                <w:rFonts w:ascii="Segoe UI" w:hAnsi="Segoe UI" w:cs="Segoe UI"/>
                <w:sz w:val="18"/>
              </w:rPr>
              <w:t>Check that internal context reviews consider the values, culture, knowledge and performance of your organization, ensuring these are captured in a matrix.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  <w:r w:rsidRPr="00CF56DA">
              <w:rPr>
                <w:rFonts w:ascii="Segoe UI" w:hAnsi="Segoe UI" w:cs="Segoe UI"/>
                <w:sz w:val="18"/>
              </w:rPr>
              <w:t>Where required, further understanding of these issues is acquired by SWOT analysis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CF56DA" w:rsidRPr="00D20C7E" w:rsidRDefault="00CF56DA" w:rsidP="00CF56DA">
            <w:pPr>
              <w:pStyle w:val="TableText"/>
              <w:rPr>
                <w:rFonts w:cs="Arial"/>
              </w:rPr>
            </w:pPr>
          </w:p>
        </w:tc>
      </w:tr>
      <w:tr w:rsidR="00CF56DA" w:rsidRPr="00D20C7E" w14:paraId="02832264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0B34A0B9" w14:textId="17E1E6FD" w:rsidR="00CF56DA" w:rsidRPr="00632B9D" w:rsidRDefault="00CF56DA" w:rsidP="00CF56DA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CF56DA">
              <w:rPr>
                <w:rFonts w:ascii="Segoe UI" w:hAnsi="Segoe UI" w:cs="Segoe UI"/>
                <w:sz w:val="18"/>
              </w:rPr>
              <w:t xml:space="preserve">Check that </w:t>
            </w:r>
            <w:r>
              <w:rPr>
                <w:rFonts w:ascii="Segoe UI" w:hAnsi="Segoe UI" w:cs="Segoe UI"/>
                <w:sz w:val="18"/>
              </w:rPr>
              <w:t>e</w:t>
            </w:r>
            <w:r w:rsidRPr="00CF56DA">
              <w:rPr>
                <w:rFonts w:ascii="Segoe UI" w:hAnsi="Segoe UI" w:cs="Segoe UI"/>
                <w:sz w:val="18"/>
              </w:rPr>
              <w:t xml:space="preserve">xternal issues are captured using </w:t>
            </w:r>
            <w:r>
              <w:rPr>
                <w:rFonts w:ascii="Segoe UI" w:hAnsi="Segoe UI" w:cs="Segoe UI"/>
                <w:sz w:val="18"/>
              </w:rPr>
              <w:t xml:space="preserve">a </w:t>
            </w:r>
            <w:r w:rsidRPr="00CF56DA">
              <w:rPr>
                <w:rFonts w:ascii="Segoe UI" w:hAnsi="Segoe UI" w:cs="Segoe UI"/>
                <w:sz w:val="18"/>
              </w:rPr>
              <w:t>matrix. Where required, further understanding of these issues is acquired by PESTLE analysis.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6A209" w14:textId="77777777" w:rsidR="00CF56DA" w:rsidRPr="00D20C7E" w:rsidRDefault="00CF56DA" w:rsidP="00CF56DA">
            <w:pPr>
              <w:pStyle w:val="TableText"/>
              <w:rPr>
                <w:rFonts w:cs="Arial"/>
              </w:rPr>
            </w:pPr>
          </w:p>
        </w:tc>
      </w:tr>
      <w:tr w:rsidR="00AB547A" w:rsidRPr="00D20C7E" w14:paraId="75BE4C01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48DC3F3A" w14:textId="6CF231AD" w:rsidR="00AB547A" w:rsidRPr="00632B9D" w:rsidRDefault="00AB547A" w:rsidP="00CF56DA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CF56DA">
              <w:rPr>
                <w:rFonts w:ascii="Segoe UI" w:hAnsi="Segoe UI" w:cs="Segoe UI"/>
                <w:sz w:val="18"/>
              </w:rPr>
              <w:t xml:space="preserve">Check that </w:t>
            </w:r>
            <w:r>
              <w:rPr>
                <w:rFonts w:ascii="Segoe UI" w:hAnsi="Segoe UI" w:cs="Segoe UI"/>
                <w:sz w:val="18"/>
              </w:rPr>
              <w:t>any serious i</w:t>
            </w:r>
            <w:r w:rsidRPr="00AB547A">
              <w:rPr>
                <w:rFonts w:ascii="Segoe UI" w:hAnsi="Segoe UI" w:cs="Segoe UI"/>
                <w:sz w:val="18"/>
              </w:rPr>
              <w:t>ssues arising</w:t>
            </w:r>
            <w:r>
              <w:rPr>
                <w:rFonts w:ascii="Segoe UI" w:hAnsi="Segoe UI" w:cs="Segoe UI"/>
                <w:sz w:val="18"/>
              </w:rPr>
              <w:t xml:space="preserve"> from internal and external context reviews </w:t>
            </w:r>
            <w:r w:rsidRPr="00AB547A">
              <w:rPr>
                <w:rFonts w:ascii="Segoe UI" w:hAnsi="Segoe UI" w:cs="Segoe UI"/>
                <w:sz w:val="18"/>
              </w:rPr>
              <w:t xml:space="preserve">are escalated to </w:t>
            </w:r>
            <w:r>
              <w:rPr>
                <w:rFonts w:ascii="Segoe UI" w:hAnsi="Segoe UI" w:cs="Segoe UI"/>
                <w:sz w:val="18"/>
              </w:rPr>
              <w:t>a</w:t>
            </w:r>
            <w:r w:rsidRPr="00AB547A">
              <w:rPr>
                <w:rFonts w:ascii="Segoe UI" w:hAnsi="Segoe UI" w:cs="Segoe UI"/>
                <w:sz w:val="18"/>
              </w:rPr>
              <w:t xml:space="preserve"> </w:t>
            </w:r>
            <w:r>
              <w:rPr>
                <w:rFonts w:ascii="Segoe UI" w:hAnsi="Segoe UI" w:cs="Segoe UI"/>
                <w:sz w:val="18"/>
              </w:rPr>
              <w:t>r</w:t>
            </w:r>
            <w:r w:rsidRPr="00AB547A">
              <w:rPr>
                <w:rFonts w:ascii="Segoe UI" w:hAnsi="Segoe UI" w:cs="Segoe UI"/>
                <w:sz w:val="18"/>
              </w:rPr>
              <w:t xml:space="preserve">isk </w:t>
            </w:r>
            <w:r>
              <w:rPr>
                <w:rFonts w:ascii="Segoe UI" w:hAnsi="Segoe UI" w:cs="Segoe UI"/>
                <w:sz w:val="18"/>
              </w:rPr>
              <w:t>r</w:t>
            </w:r>
            <w:r w:rsidRPr="00AB547A">
              <w:rPr>
                <w:rFonts w:ascii="Segoe UI" w:hAnsi="Segoe UI" w:cs="Segoe UI"/>
                <w:sz w:val="18"/>
              </w:rPr>
              <w:t xml:space="preserve">egister for further analysis and mitigation. 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AB547A" w:rsidRPr="00D20C7E" w:rsidRDefault="00AB547A" w:rsidP="00CF56DA">
            <w:pPr>
              <w:pStyle w:val="TableText"/>
              <w:rPr>
                <w:rFonts w:cs="Arial"/>
              </w:rPr>
            </w:pPr>
          </w:p>
        </w:tc>
      </w:tr>
      <w:tr w:rsidR="00CF56DA" w:rsidRPr="00D20C7E" w14:paraId="4C9A8445" w14:textId="77777777" w:rsidTr="00890DBA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68"/>
        </w:trPr>
        <w:tc>
          <w:tcPr>
            <w:tcW w:w="5293" w:type="dxa"/>
            <w:shd w:val="clear" w:color="auto" w:fill="auto"/>
            <w:vAlign w:val="center"/>
          </w:tcPr>
          <w:p w14:paraId="1C0191CF" w14:textId="140F2854" w:rsidR="00CF56DA" w:rsidRPr="00D35335" w:rsidRDefault="00CF56DA" w:rsidP="00CF56DA">
            <w:pPr>
              <w:pStyle w:val="TableText"/>
              <w:jc w:val="left"/>
              <w:rPr>
                <w:rFonts w:cs="Arial"/>
                <w:sz w:val="18"/>
              </w:rPr>
            </w:pPr>
            <w:r w:rsidRPr="00632B9D">
              <w:rPr>
                <w:rFonts w:ascii="Segoe UI" w:hAnsi="Segoe UI" w:cs="Segoe UI"/>
                <w:sz w:val="18"/>
              </w:rPr>
              <w:t xml:space="preserve">Check that the management system </w:t>
            </w:r>
            <w:r>
              <w:rPr>
                <w:rFonts w:ascii="Segoe UI" w:hAnsi="Segoe UI" w:cs="Segoe UI"/>
                <w:sz w:val="18"/>
              </w:rPr>
              <w:t xml:space="preserve">scope </w:t>
            </w:r>
            <w:r w:rsidRPr="00632B9D">
              <w:rPr>
                <w:rFonts w:ascii="Segoe UI" w:hAnsi="Segoe UI" w:cs="Segoe UI"/>
                <w:sz w:val="18"/>
              </w:rPr>
              <w:t xml:space="preserve">is ready. Don’t continue without an approved </w:t>
            </w:r>
            <w:r>
              <w:rPr>
                <w:rFonts w:ascii="Segoe UI" w:hAnsi="Segoe UI" w:cs="Segoe UI"/>
                <w:sz w:val="18"/>
              </w:rPr>
              <w:t>QMS scope</w:t>
            </w:r>
            <w:r w:rsidRPr="00632B9D">
              <w:rPr>
                <w:rFonts w:ascii="Segoe UI" w:hAnsi="Segoe UI" w:cs="Segoe UI"/>
                <w:sz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3436C33" w14:textId="77777777" w:rsidR="00CF56DA" w:rsidRPr="00D20C7E" w:rsidRDefault="00CF56DA" w:rsidP="00CF56DA">
            <w:pPr>
              <w:pStyle w:val="TableText"/>
              <w:rPr>
                <w:rFonts w:cs="Arial"/>
              </w:rPr>
            </w:pPr>
          </w:p>
        </w:tc>
      </w:tr>
      <w:tr w:rsidR="00CF56DA" w:rsidRPr="00D20C7E" w14:paraId="26430FEC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96E168D" w14:textId="14562892" w:rsidR="00CF56DA" w:rsidRPr="00D35335" w:rsidRDefault="00CF56DA" w:rsidP="00CF56DA">
            <w:pPr>
              <w:pStyle w:val="TableText"/>
              <w:jc w:val="left"/>
              <w:rPr>
                <w:rFonts w:cs="Arial"/>
                <w:sz w:val="18"/>
              </w:rPr>
            </w:pPr>
            <w:r w:rsidRPr="00632B9D">
              <w:rPr>
                <w:rFonts w:ascii="Segoe UI" w:hAnsi="Segoe UI" w:cs="Segoe UI"/>
                <w:sz w:val="18"/>
              </w:rPr>
              <w:t>Check that the requirements from the standards are fulfilled and that reference is made to the applicable process and departments.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F63E488" w14:textId="77777777" w:rsidR="00CF56DA" w:rsidRPr="00D20C7E" w:rsidRDefault="00CF56DA" w:rsidP="00CF56DA">
            <w:pPr>
              <w:pStyle w:val="TableText"/>
              <w:rPr>
                <w:rFonts w:cs="Arial"/>
              </w:rPr>
            </w:pPr>
          </w:p>
        </w:tc>
      </w:tr>
      <w:tr w:rsidR="00CF56DA" w:rsidRPr="00D20C7E" w14:paraId="71585266" w14:textId="77777777" w:rsidTr="00890DBA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76"/>
        </w:trPr>
        <w:tc>
          <w:tcPr>
            <w:tcW w:w="5293" w:type="dxa"/>
            <w:shd w:val="clear" w:color="auto" w:fill="auto"/>
            <w:vAlign w:val="center"/>
          </w:tcPr>
          <w:p w14:paraId="10162C93" w14:textId="08E6712D" w:rsidR="00CF56DA" w:rsidRPr="00D35335" w:rsidRDefault="00CF56DA" w:rsidP="00CF56DA">
            <w:pPr>
              <w:pStyle w:val="TableText"/>
              <w:jc w:val="left"/>
              <w:rPr>
                <w:rFonts w:cs="Arial"/>
                <w:sz w:val="18"/>
              </w:rPr>
            </w:pPr>
            <w:r w:rsidRPr="00632B9D">
              <w:rPr>
                <w:rFonts w:ascii="Segoe UI" w:hAnsi="Segoe UI" w:cs="Segoe UI"/>
                <w:sz w:val="18"/>
              </w:rPr>
              <w:t xml:space="preserve">Check that the process owners are involved </w:t>
            </w:r>
            <w:r w:rsidR="0048677E">
              <w:rPr>
                <w:rFonts w:ascii="Segoe UI" w:hAnsi="Segoe UI" w:cs="Segoe UI"/>
                <w:sz w:val="18"/>
              </w:rPr>
              <w:t>during SWOT and PESTLE exercises.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DB8B082" w14:textId="77777777" w:rsidR="00CF56DA" w:rsidRPr="00D20C7E" w:rsidRDefault="00CF56DA" w:rsidP="00CF56DA">
            <w:pPr>
              <w:pStyle w:val="TableText"/>
              <w:rPr>
                <w:rFonts w:cs="Arial"/>
              </w:rPr>
            </w:pPr>
          </w:p>
        </w:tc>
      </w:tr>
      <w:tr w:rsidR="00CF56DA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CF56DA" w:rsidRDefault="00CF56DA" w:rsidP="00CF56DA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4DC0D5EB" w:rsidR="00CF56DA" w:rsidRPr="00D20C7E" w:rsidRDefault="0048677E" w:rsidP="00CF56DA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CF56DA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CF56DA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24129" w14:textId="77777777" w:rsidR="00326434" w:rsidRDefault="00326434">
      <w:r>
        <w:separator/>
      </w:r>
    </w:p>
  </w:endnote>
  <w:endnote w:type="continuationSeparator" w:id="0">
    <w:p w14:paraId="4CF7E65F" w14:textId="77777777" w:rsidR="00326434" w:rsidRDefault="0032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1A0C2" w14:textId="77777777" w:rsidR="002C6B96" w:rsidRDefault="002C6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890DBA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890DBA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890DBA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890DBA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890DBA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890DBA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890DBA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890DBA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890DB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9BC3" w14:textId="77777777" w:rsidR="002C6B96" w:rsidRDefault="002C6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C4602" w14:textId="77777777" w:rsidR="00326434" w:rsidRDefault="00326434">
      <w:r>
        <w:separator/>
      </w:r>
    </w:p>
  </w:footnote>
  <w:footnote w:type="continuationSeparator" w:id="0">
    <w:p w14:paraId="493357A5" w14:textId="77777777" w:rsidR="00326434" w:rsidRDefault="00326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2C6B96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890DBA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4476A035" w:rsidR="00486C7C" w:rsidRPr="00F7041D" w:rsidRDefault="002C6B96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5E6BEC5F" wp14:editId="29D903EE">
                <wp:extent cx="2038350" cy="564229"/>
                <wp:effectExtent l="0" t="0" r="0" b="0"/>
                <wp:docPr id="211274202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92" cy="57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46E28E41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4034D9">
            <w:rPr>
              <w:rFonts w:ascii="Arial" w:hAnsi="Arial" w:cs="Arial"/>
              <w:b/>
              <w:sz w:val="32"/>
              <w:szCs w:val="18"/>
            </w:rPr>
            <w:t>7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890DBA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19CEA29A" w:rsidR="00486C7C" w:rsidRPr="001618E1" w:rsidRDefault="00624446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 w:rsidRPr="00624446">
            <w:rPr>
              <w:rFonts w:ascii="Arial" w:hAnsi="Arial" w:cs="Arial"/>
              <w:b/>
              <w:color w:val="808080" w:themeColor="background1" w:themeShade="80"/>
            </w:rPr>
            <w:t>Define the Strategic Direction and Scope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04838062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788819809">
    <w:abstractNumId w:val="1"/>
  </w:num>
  <w:num w:numId="3" w16cid:durableId="1267035917">
    <w:abstractNumId w:val="3"/>
  </w:num>
  <w:num w:numId="4" w16cid:durableId="189611789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NKkFAN1NUQotAAAA"/>
  </w:docVars>
  <w:rsids>
    <w:rsidRoot w:val="00283348"/>
    <w:rsid w:val="00000D39"/>
    <w:rsid w:val="000024B8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C6683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6724"/>
    <w:rsid w:val="002C6B96"/>
    <w:rsid w:val="002D2835"/>
    <w:rsid w:val="002D4016"/>
    <w:rsid w:val="002D6BE5"/>
    <w:rsid w:val="00300398"/>
    <w:rsid w:val="00305744"/>
    <w:rsid w:val="00307456"/>
    <w:rsid w:val="00313A07"/>
    <w:rsid w:val="0031680C"/>
    <w:rsid w:val="00320EC0"/>
    <w:rsid w:val="00324527"/>
    <w:rsid w:val="00324671"/>
    <w:rsid w:val="00326434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034D9"/>
    <w:rsid w:val="00410199"/>
    <w:rsid w:val="00411955"/>
    <w:rsid w:val="00414934"/>
    <w:rsid w:val="00425F8E"/>
    <w:rsid w:val="004328BD"/>
    <w:rsid w:val="004421C9"/>
    <w:rsid w:val="00462A12"/>
    <w:rsid w:val="004645E1"/>
    <w:rsid w:val="00470C0C"/>
    <w:rsid w:val="0048333F"/>
    <w:rsid w:val="004838BA"/>
    <w:rsid w:val="0048677E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525E"/>
    <w:rsid w:val="005D51C4"/>
    <w:rsid w:val="005E1C07"/>
    <w:rsid w:val="005E7872"/>
    <w:rsid w:val="005F5CE7"/>
    <w:rsid w:val="00606B06"/>
    <w:rsid w:val="006125DC"/>
    <w:rsid w:val="00616549"/>
    <w:rsid w:val="00620976"/>
    <w:rsid w:val="006238E8"/>
    <w:rsid w:val="00624446"/>
    <w:rsid w:val="00631B84"/>
    <w:rsid w:val="00643D60"/>
    <w:rsid w:val="00644E3C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6E7AA0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8318D1"/>
    <w:rsid w:val="008340A1"/>
    <w:rsid w:val="00837C92"/>
    <w:rsid w:val="00843E94"/>
    <w:rsid w:val="00870758"/>
    <w:rsid w:val="0087225B"/>
    <w:rsid w:val="008722BF"/>
    <w:rsid w:val="00885912"/>
    <w:rsid w:val="00890DBA"/>
    <w:rsid w:val="00895BCA"/>
    <w:rsid w:val="00896DD0"/>
    <w:rsid w:val="008C0BC3"/>
    <w:rsid w:val="008D4CF1"/>
    <w:rsid w:val="008F0BC0"/>
    <w:rsid w:val="008F3B07"/>
    <w:rsid w:val="008F4D6B"/>
    <w:rsid w:val="008F5FC1"/>
    <w:rsid w:val="009026CC"/>
    <w:rsid w:val="00903842"/>
    <w:rsid w:val="00906179"/>
    <w:rsid w:val="0090758E"/>
    <w:rsid w:val="00915C88"/>
    <w:rsid w:val="009169E3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2DD5"/>
    <w:rsid w:val="009A7498"/>
    <w:rsid w:val="009C0423"/>
    <w:rsid w:val="009D2736"/>
    <w:rsid w:val="009D5AD6"/>
    <w:rsid w:val="009E39D1"/>
    <w:rsid w:val="009F051F"/>
    <w:rsid w:val="009F3348"/>
    <w:rsid w:val="00A02696"/>
    <w:rsid w:val="00A06DA0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93240"/>
    <w:rsid w:val="00A9451E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D759E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F27B4"/>
    <w:rsid w:val="00C03C05"/>
    <w:rsid w:val="00C060C9"/>
    <w:rsid w:val="00C11B86"/>
    <w:rsid w:val="00C12E4C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32B9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2435"/>
    <w:rsid w:val="00DD3F40"/>
    <w:rsid w:val="00DD4683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34F6"/>
    <w:rsid w:val="00EB1CD0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19</cp:revision>
  <cp:lastPrinted>2009-06-29T14:18:00Z</cp:lastPrinted>
  <dcterms:created xsi:type="dcterms:W3CDTF">2020-10-02T10:21:00Z</dcterms:created>
  <dcterms:modified xsi:type="dcterms:W3CDTF">2025-03-26T10:45:00Z</dcterms:modified>
</cp:coreProperties>
</file>