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EE56D3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EE56D3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EE56D3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EE56D3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EE56D3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EE56D3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EE56D3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EE56D3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EE56D3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2C4C6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756"/>
        </w:trPr>
        <w:tc>
          <w:tcPr>
            <w:tcW w:w="1608" w:type="dxa"/>
            <w:vAlign w:val="center"/>
          </w:tcPr>
          <w:p w14:paraId="285977BE" w14:textId="3B18F592" w:rsidR="00D20C7E" w:rsidRPr="00D20C7E" w:rsidRDefault="00B03B44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>Begin internal auditing (ISO 9001:2015 Clause 9.2)</w:t>
            </w:r>
          </w:p>
        </w:tc>
        <w:tc>
          <w:tcPr>
            <w:tcW w:w="3685" w:type="dxa"/>
            <w:vAlign w:val="center"/>
          </w:tcPr>
          <w:p w14:paraId="0B537DD5" w14:textId="53BBD2E9" w:rsidR="00D20C7E" w:rsidRPr="0080670D" w:rsidRDefault="00B03B44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 xml:space="preserve">Perform an elemental internal audit of selected functions and areas using the </w:t>
            </w:r>
            <w:r w:rsidR="00B65EA3">
              <w:rPr>
                <w:rFonts w:cs="Segoe UI"/>
                <w:sz w:val="18"/>
                <w:szCs w:val="14"/>
              </w:rPr>
              <w:t xml:space="preserve">internal </w:t>
            </w:r>
            <w:r w:rsidRPr="00B03B44">
              <w:rPr>
                <w:rFonts w:cs="Segoe UI"/>
                <w:sz w:val="18"/>
                <w:szCs w:val="14"/>
              </w:rPr>
              <w:t xml:space="preserve">audit programme and the audit checklists.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FC1E26" w14:textId="76373346" w:rsidR="00B03B44" w:rsidRPr="00B03B44" w:rsidRDefault="00B03B44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>Internal Auditors</w:t>
            </w:r>
          </w:p>
          <w:p w14:paraId="2249C22D" w14:textId="3506F72B" w:rsidR="00B03B44" w:rsidRPr="00B03B44" w:rsidRDefault="00B03B44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02AAFABD" w14:textId="77777777" w:rsidR="00B03B44" w:rsidRPr="00B03B44" w:rsidRDefault="00B03B44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>Process Owners</w:t>
            </w:r>
          </w:p>
          <w:p w14:paraId="2E9A243D" w14:textId="77777777" w:rsidR="00B03B44" w:rsidRDefault="00B03B44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5F6E9F05" w14:textId="31D76067" w:rsidR="00B03B44" w:rsidRDefault="00B03B44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 xml:space="preserve">Management </w:t>
            </w:r>
          </w:p>
          <w:p w14:paraId="1D0F04A3" w14:textId="67450F73" w:rsidR="00D20C7E" w:rsidRPr="00B75B0F" w:rsidRDefault="00B03B44" w:rsidP="00B03B44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>Representative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530FAC" w14:textId="62DAEA41" w:rsidR="00B03B44" w:rsidRPr="00B03B44" w:rsidRDefault="00B03B44" w:rsidP="00B03B44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>Internal audit reports</w:t>
            </w:r>
          </w:p>
          <w:p w14:paraId="41545BD2" w14:textId="77777777" w:rsidR="00055D11" w:rsidRDefault="00055D11" w:rsidP="00055D11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0A1608EA" w14:textId="3EF9F96F" w:rsidR="00B65EA3" w:rsidRDefault="00B03B44" w:rsidP="007F6BC7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>Internal audit ch</w:t>
            </w:r>
            <w:r w:rsidR="00B65EA3">
              <w:rPr>
                <w:rFonts w:cs="Segoe UI"/>
                <w:sz w:val="18"/>
                <w:szCs w:val="14"/>
              </w:rPr>
              <w:t>ecklist</w:t>
            </w:r>
            <w:r w:rsidRPr="00B03B44">
              <w:rPr>
                <w:rFonts w:cs="Segoe UI"/>
                <w:sz w:val="18"/>
                <w:szCs w:val="14"/>
              </w:rPr>
              <w:t>s</w:t>
            </w:r>
            <w:r w:rsidR="00B65EA3" w:rsidRPr="00B03B44">
              <w:rPr>
                <w:rFonts w:cs="Segoe UI"/>
                <w:sz w:val="18"/>
                <w:szCs w:val="14"/>
              </w:rPr>
              <w:t xml:space="preserve"> </w:t>
            </w:r>
          </w:p>
          <w:p w14:paraId="0A60AC90" w14:textId="77777777" w:rsidR="00B65EA3" w:rsidRDefault="00B65EA3" w:rsidP="00B65EA3">
            <w:pPr>
              <w:pStyle w:val="ListParagraph"/>
              <w:rPr>
                <w:rFonts w:cs="Segoe UI"/>
                <w:sz w:val="18"/>
                <w:szCs w:val="14"/>
              </w:rPr>
            </w:pPr>
          </w:p>
          <w:p w14:paraId="4054D1AE" w14:textId="02441CEB" w:rsidR="00B75B0F" w:rsidRDefault="00B65EA3" w:rsidP="007F6BC7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>Internal a</w:t>
            </w:r>
            <w:r w:rsidRPr="00B03B44">
              <w:rPr>
                <w:rFonts w:cs="Segoe UI"/>
                <w:sz w:val="18"/>
                <w:szCs w:val="14"/>
              </w:rPr>
              <w:t>udit programme</w:t>
            </w:r>
          </w:p>
          <w:p w14:paraId="10FCDF13" w14:textId="77777777" w:rsidR="00B03B44" w:rsidRDefault="00B03B44" w:rsidP="00B03B44">
            <w:pPr>
              <w:pStyle w:val="ListParagraph"/>
              <w:rPr>
                <w:rFonts w:cs="Segoe UI"/>
                <w:sz w:val="18"/>
                <w:szCs w:val="14"/>
              </w:rPr>
            </w:pPr>
          </w:p>
          <w:p w14:paraId="643193CA" w14:textId="26468CE0" w:rsidR="00B03B44" w:rsidRPr="007F6BC7" w:rsidRDefault="00B03B44" w:rsidP="007F6BC7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>Corrective action reports with root-cause analysis findings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EE56D3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EE56D3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E56D3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EE56D3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E56D3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656A8D" w:rsidRPr="00D20C7E" w14:paraId="7BBFBEAC" w14:textId="77777777" w:rsidTr="002C4C6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80"/>
        </w:trPr>
        <w:tc>
          <w:tcPr>
            <w:tcW w:w="5293" w:type="dxa"/>
            <w:shd w:val="clear" w:color="auto" w:fill="auto"/>
            <w:vAlign w:val="center"/>
          </w:tcPr>
          <w:p w14:paraId="6C0191C8" w14:textId="24FB1B57" w:rsidR="00656A8D" w:rsidRDefault="00656A8D" w:rsidP="00656A8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>Ensure that the auditors do not audit their own functions or processes.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34290F5" w14:textId="77777777" w:rsidR="00656A8D" w:rsidRPr="00D20C7E" w:rsidRDefault="00656A8D" w:rsidP="00656A8D">
            <w:pPr>
              <w:pStyle w:val="TableText"/>
              <w:rPr>
                <w:rFonts w:cs="Arial"/>
              </w:rPr>
            </w:pPr>
          </w:p>
        </w:tc>
      </w:tr>
      <w:tr w:rsidR="00656A8D" w:rsidRPr="00D20C7E" w14:paraId="4BE59FDE" w14:textId="77777777" w:rsidTr="002C4C6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80"/>
        </w:trPr>
        <w:tc>
          <w:tcPr>
            <w:tcW w:w="5293" w:type="dxa"/>
            <w:shd w:val="clear" w:color="auto" w:fill="auto"/>
            <w:vAlign w:val="center"/>
          </w:tcPr>
          <w:p w14:paraId="036E7A1F" w14:textId="5054942C" w:rsidR="00656A8D" w:rsidRPr="00B75B0F" w:rsidRDefault="00656A8D" w:rsidP="00656A8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B03B44">
              <w:rPr>
                <w:rFonts w:cs="Segoe UI"/>
                <w:sz w:val="18"/>
                <w:szCs w:val="14"/>
              </w:rPr>
              <w:t xml:space="preserve">Ensure that </w:t>
            </w:r>
            <w:r>
              <w:rPr>
                <w:rFonts w:cs="Segoe UI"/>
                <w:sz w:val="18"/>
                <w:szCs w:val="14"/>
              </w:rPr>
              <w:t>a</w:t>
            </w:r>
            <w:r w:rsidRPr="00B03B44">
              <w:rPr>
                <w:rFonts w:cs="Segoe UI"/>
                <w:sz w:val="18"/>
                <w:szCs w:val="14"/>
              </w:rPr>
              <w:t xml:space="preserve">ll staff </w:t>
            </w:r>
            <w:r>
              <w:rPr>
                <w:rFonts w:cs="Segoe UI"/>
                <w:sz w:val="18"/>
                <w:szCs w:val="14"/>
              </w:rPr>
              <w:t>are</w:t>
            </w:r>
            <w:r w:rsidRPr="00B03B44">
              <w:rPr>
                <w:rFonts w:cs="Segoe UI"/>
                <w:sz w:val="18"/>
                <w:szCs w:val="14"/>
              </w:rPr>
              <w:t xml:space="preserve"> provided with adequate resources and lead time to prepare for</w:t>
            </w:r>
            <w:r>
              <w:rPr>
                <w:rFonts w:cs="Segoe UI"/>
                <w:sz w:val="18"/>
                <w:szCs w:val="14"/>
              </w:rPr>
              <w:t xml:space="preserve"> and under-go</w:t>
            </w:r>
            <w:r w:rsidRPr="00B03B44">
              <w:rPr>
                <w:rFonts w:cs="Segoe UI"/>
                <w:sz w:val="18"/>
                <w:szCs w:val="14"/>
              </w:rPr>
              <w:t xml:space="preserve"> the audit</w:t>
            </w:r>
            <w:r>
              <w:rPr>
                <w:rFonts w:cs="Segoe UI"/>
                <w:sz w:val="18"/>
                <w:szCs w:val="14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4FAE7C" w14:textId="77777777" w:rsidR="00656A8D" w:rsidRPr="00D20C7E" w:rsidRDefault="00656A8D" w:rsidP="00656A8D">
            <w:pPr>
              <w:pStyle w:val="TableText"/>
              <w:rPr>
                <w:rFonts w:cs="Arial"/>
              </w:rPr>
            </w:pPr>
          </w:p>
        </w:tc>
      </w:tr>
      <w:tr w:rsidR="00656A8D" w:rsidRPr="00D20C7E" w14:paraId="4E0A2155" w14:textId="77777777" w:rsidTr="002C4C6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80"/>
        </w:trPr>
        <w:tc>
          <w:tcPr>
            <w:tcW w:w="5293" w:type="dxa"/>
            <w:shd w:val="clear" w:color="auto" w:fill="auto"/>
            <w:vAlign w:val="center"/>
          </w:tcPr>
          <w:p w14:paraId="75E6DF9E" w14:textId="36A7823F" w:rsidR="00656A8D" w:rsidRPr="00D35335" w:rsidRDefault="00656A8D" w:rsidP="00656A8D">
            <w:pPr>
              <w:pStyle w:val="TableText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Check that the Internal Auditors have received an approved copy of the internal audit programme.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51DA9DC" w14:textId="77777777" w:rsidR="00656A8D" w:rsidRPr="00D20C7E" w:rsidRDefault="00656A8D" w:rsidP="00656A8D">
            <w:pPr>
              <w:pStyle w:val="TableText"/>
              <w:rPr>
                <w:rFonts w:cs="Arial"/>
              </w:rPr>
            </w:pPr>
          </w:p>
        </w:tc>
      </w:tr>
      <w:tr w:rsidR="00656A8D" w:rsidRPr="00D20C7E" w14:paraId="02832264" w14:textId="77777777" w:rsidTr="002C4C6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80"/>
        </w:trPr>
        <w:tc>
          <w:tcPr>
            <w:tcW w:w="5293" w:type="dxa"/>
            <w:shd w:val="clear" w:color="auto" w:fill="auto"/>
            <w:vAlign w:val="center"/>
          </w:tcPr>
          <w:p w14:paraId="0B34A0B9" w14:textId="533C8E17" w:rsidR="00656A8D" w:rsidRPr="00B75B0F" w:rsidRDefault="00656A8D" w:rsidP="00656A8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Arial"/>
                <w:sz w:val="18"/>
              </w:rPr>
              <w:t>Check that the Internal Auditors are aware of the scope and criteria for each audit.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D06A209" w14:textId="77777777" w:rsidR="00656A8D" w:rsidRPr="00D20C7E" w:rsidRDefault="00656A8D" w:rsidP="00656A8D">
            <w:pPr>
              <w:pStyle w:val="TableText"/>
              <w:rPr>
                <w:rFonts w:cs="Arial"/>
              </w:rPr>
            </w:pPr>
          </w:p>
        </w:tc>
      </w:tr>
      <w:tr w:rsidR="00656A8D" w:rsidRPr="00D20C7E" w14:paraId="66796EE4" w14:textId="77777777" w:rsidTr="002C4C6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94"/>
        </w:trPr>
        <w:tc>
          <w:tcPr>
            <w:tcW w:w="5293" w:type="dxa"/>
            <w:shd w:val="clear" w:color="auto" w:fill="auto"/>
            <w:vAlign w:val="center"/>
          </w:tcPr>
          <w:p w14:paraId="2F9498F9" w14:textId="5EBB4003" w:rsidR="00656A8D" w:rsidRDefault="00656A8D" w:rsidP="00656A8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Arial"/>
                <w:sz w:val="18"/>
              </w:rPr>
              <w:t xml:space="preserve">Check that the Internal Auditors </w:t>
            </w:r>
            <w:r w:rsidR="00585A9E">
              <w:rPr>
                <w:rFonts w:cs="Arial"/>
                <w:sz w:val="18"/>
              </w:rPr>
              <w:t>are using t</w:t>
            </w:r>
            <w:r>
              <w:rPr>
                <w:rFonts w:cs="Arial"/>
                <w:sz w:val="18"/>
              </w:rPr>
              <w:t xml:space="preserve">he </w:t>
            </w:r>
            <w:r w:rsidR="00585A9E">
              <w:rPr>
                <w:rFonts w:cs="Arial"/>
                <w:sz w:val="18"/>
              </w:rPr>
              <w:t xml:space="preserve">internal </w:t>
            </w:r>
            <w:r>
              <w:rPr>
                <w:rFonts w:cs="Arial"/>
                <w:sz w:val="18"/>
              </w:rPr>
              <w:t xml:space="preserve">audit checklist </w:t>
            </w:r>
            <w:r w:rsidR="00585A9E"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nd have adapted it for the specific function being audited.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BD6285" w14:textId="77777777" w:rsidR="00656A8D" w:rsidRPr="00D20C7E" w:rsidRDefault="00656A8D" w:rsidP="00656A8D">
            <w:pPr>
              <w:pStyle w:val="TableText"/>
              <w:rPr>
                <w:rFonts w:cs="Arial"/>
              </w:rPr>
            </w:pPr>
          </w:p>
        </w:tc>
      </w:tr>
      <w:tr w:rsidR="00656A8D" w:rsidRPr="00D20C7E" w14:paraId="75BE4C01" w14:textId="77777777" w:rsidTr="002C4C6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80"/>
        </w:trPr>
        <w:tc>
          <w:tcPr>
            <w:tcW w:w="5293" w:type="dxa"/>
            <w:shd w:val="clear" w:color="auto" w:fill="auto"/>
            <w:vAlign w:val="center"/>
          </w:tcPr>
          <w:p w14:paraId="48DC3F3A" w14:textId="3B1DB903" w:rsidR="00656A8D" w:rsidRPr="00632B9D" w:rsidRDefault="00585A9E" w:rsidP="00656A8D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>
              <w:rPr>
                <w:rFonts w:cs="Arial"/>
                <w:sz w:val="18"/>
              </w:rPr>
              <w:t>Check that the Internal Auditors are reporting the audit results to the Management Representative.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472734E" w14:textId="77777777" w:rsidR="00656A8D" w:rsidRPr="00D20C7E" w:rsidRDefault="00656A8D" w:rsidP="00656A8D">
            <w:pPr>
              <w:pStyle w:val="TableText"/>
              <w:rPr>
                <w:rFonts w:cs="Arial"/>
              </w:rPr>
            </w:pPr>
          </w:p>
        </w:tc>
      </w:tr>
      <w:tr w:rsidR="00656A8D" w:rsidRPr="00D20C7E" w14:paraId="346F908A" w14:textId="77777777" w:rsidTr="002C4C6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94"/>
        </w:trPr>
        <w:tc>
          <w:tcPr>
            <w:tcW w:w="5293" w:type="dxa"/>
            <w:shd w:val="clear" w:color="auto" w:fill="auto"/>
            <w:vAlign w:val="center"/>
          </w:tcPr>
          <w:p w14:paraId="74F83E6E" w14:textId="6D78A911" w:rsidR="00656A8D" w:rsidRPr="00D35335" w:rsidRDefault="00585A9E" w:rsidP="00656A8D">
            <w:pPr>
              <w:pStyle w:val="TableText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Check that the</w:t>
            </w:r>
            <w:r w:rsidRPr="00B03B44">
              <w:rPr>
                <w:rFonts w:cs="Segoe UI"/>
                <w:sz w:val="18"/>
                <w:szCs w:val="14"/>
              </w:rPr>
              <w:t xml:space="preserve"> Management Representative assist</w:t>
            </w:r>
            <w:r>
              <w:rPr>
                <w:rFonts w:cs="Segoe UI"/>
                <w:sz w:val="18"/>
                <w:szCs w:val="14"/>
              </w:rPr>
              <w:t>s</w:t>
            </w:r>
            <w:r w:rsidRPr="00B03B44">
              <w:rPr>
                <w:rFonts w:cs="Segoe UI"/>
                <w:sz w:val="18"/>
                <w:szCs w:val="14"/>
              </w:rPr>
              <w:t xml:space="preserve"> the process owners in determining root-causes and finding solutions</w:t>
            </w:r>
            <w:r>
              <w:rPr>
                <w:rFonts w:cs="Segoe UI"/>
                <w:sz w:val="18"/>
                <w:szCs w:val="14"/>
              </w:rPr>
              <w:t xml:space="preserve"> to problems.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8005E8" w14:textId="77777777" w:rsidR="00656A8D" w:rsidRPr="00D20C7E" w:rsidRDefault="00656A8D" w:rsidP="00656A8D">
            <w:pPr>
              <w:pStyle w:val="TableText"/>
              <w:rPr>
                <w:rFonts w:cs="Arial"/>
              </w:rPr>
            </w:pPr>
          </w:p>
        </w:tc>
      </w:tr>
      <w:tr w:rsidR="00656A8D" w:rsidRPr="00D20C7E" w14:paraId="02E13229" w14:textId="77777777" w:rsidTr="00D3533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13"/>
        </w:trPr>
        <w:tc>
          <w:tcPr>
            <w:tcW w:w="9120" w:type="dxa"/>
            <w:gridSpan w:val="2"/>
            <w:shd w:val="clear" w:color="auto" w:fill="auto"/>
          </w:tcPr>
          <w:p w14:paraId="77A00CEA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670C312" w14:textId="2CD161C2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NOTES:</w:t>
            </w:r>
          </w:p>
          <w:p w14:paraId="729898C7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656A8D" w:rsidRDefault="00656A8D" w:rsidP="00656A8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780E0B43" w:rsidR="00656A8D" w:rsidRPr="00D20C7E" w:rsidRDefault="00656A8D" w:rsidP="00656A8D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 FOR NEXT STEP</w:t>
            </w:r>
            <w:r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sectPr w:rsidR="00D20C7E" w:rsidSect="00512F6A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5A5F4" w14:textId="77777777" w:rsidR="00A762FE" w:rsidRDefault="00A762FE">
      <w:r>
        <w:separator/>
      </w:r>
    </w:p>
  </w:endnote>
  <w:endnote w:type="continuationSeparator" w:id="0">
    <w:p w14:paraId="595CBB03" w14:textId="77777777" w:rsidR="00A762FE" w:rsidRDefault="00A7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123DC7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123DC7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123DC7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123DC7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123DC7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123DC7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123DC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123DC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123DC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123DC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123DC7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123DC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123DC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123DC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123DC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123DC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123DC7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123DC7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F7A4E" w14:textId="77777777" w:rsidR="00A762FE" w:rsidRDefault="00A762FE">
      <w:r>
        <w:separator/>
      </w:r>
    </w:p>
  </w:footnote>
  <w:footnote w:type="continuationSeparator" w:id="0">
    <w:p w14:paraId="6CAFCBFC" w14:textId="77777777" w:rsidR="00A762FE" w:rsidRDefault="00A76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1013CF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123DC7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256DE65D" w:rsidR="00486C7C" w:rsidRPr="00F7041D" w:rsidRDefault="001013CF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042B359C" wp14:editId="08B46184">
                <wp:extent cx="2038350" cy="564229"/>
                <wp:effectExtent l="0" t="0" r="0" b="0"/>
                <wp:docPr id="2112742024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792" cy="572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74B3327F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DC01FA">
            <w:rPr>
              <w:rFonts w:ascii="Arial" w:hAnsi="Arial" w:cs="Arial"/>
              <w:b/>
              <w:sz w:val="32"/>
              <w:szCs w:val="18"/>
            </w:rPr>
            <w:t>1</w:t>
          </w:r>
          <w:r w:rsidR="00B03B44">
            <w:rPr>
              <w:rFonts w:ascii="Arial" w:hAnsi="Arial" w:cs="Arial"/>
              <w:b/>
              <w:sz w:val="32"/>
              <w:szCs w:val="18"/>
            </w:rPr>
            <w:t>2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123DC7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48D7C8E7" w:rsidR="00486C7C" w:rsidRPr="001618E1" w:rsidRDefault="00B03B44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>
            <w:rPr>
              <w:rFonts w:ascii="Arial" w:hAnsi="Arial" w:cs="Arial"/>
              <w:b/>
              <w:color w:val="808080" w:themeColor="background1" w:themeShade="80"/>
            </w:rPr>
            <w:t>Begin Internal Auditing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44915333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854153216">
    <w:abstractNumId w:val="1"/>
  </w:num>
  <w:num w:numId="3" w16cid:durableId="313606408">
    <w:abstractNumId w:val="3"/>
  </w:num>
  <w:num w:numId="4" w16cid:durableId="122591877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tKwFAJAz/78tAAAA"/>
  </w:docVars>
  <w:rsids>
    <w:rsidRoot w:val="00283348"/>
    <w:rsid w:val="00000D39"/>
    <w:rsid w:val="000024B8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62AD"/>
    <w:rsid w:val="00090501"/>
    <w:rsid w:val="00091554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D0734"/>
    <w:rsid w:val="000D6611"/>
    <w:rsid w:val="000E531A"/>
    <w:rsid w:val="000E5910"/>
    <w:rsid w:val="000F0F23"/>
    <w:rsid w:val="000F4252"/>
    <w:rsid w:val="000F63F6"/>
    <w:rsid w:val="001013CF"/>
    <w:rsid w:val="00110770"/>
    <w:rsid w:val="001176F1"/>
    <w:rsid w:val="00123DC7"/>
    <w:rsid w:val="00124445"/>
    <w:rsid w:val="00126289"/>
    <w:rsid w:val="00135CEB"/>
    <w:rsid w:val="00136395"/>
    <w:rsid w:val="0013726F"/>
    <w:rsid w:val="0013783F"/>
    <w:rsid w:val="001471BE"/>
    <w:rsid w:val="001520EE"/>
    <w:rsid w:val="00154B50"/>
    <w:rsid w:val="00156733"/>
    <w:rsid w:val="00157D6E"/>
    <w:rsid w:val="00164C32"/>
    <w:rsid w:val="0016566B"/>
    <w:rsid w:val="00165C74"/>
    <w:rsid w:val="00175C34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0C8C"/>
    <w:rsid w:val="002035B1"/>
    <w:rsid w:val="0021481B"/>
    <w:rsid w:val="00215E01"/>
    <w:rsid w:val="00230B2E"/>
    <w:rsid w:val="00231A34"/>
    <w:rsid w:val="0023217C"/>
    <w:rsid w:val="00236C3A"/>
    <w:rsid w:val="002421EE"/>
    <w:rsid w:val="00244D0A"/>
    <w:rsid w:val="00251718"/>
    <w:rsid w:val="00256EB1"/>
    <w:rsid w:val="00265FB0"/>
    <w:rsid w:val="00270352"/>
    <w:rsid w:val="002719F9"/>
    <w:rsid w:val="00282448"/>
    <w:rsid w:val="00283348"/>
    <w:rsid w:val="002A4B01"/>
    <w:rsid w:val="002A5720"/>
    <w:rsid w:val="002A5A36"/>
    <w:rsid w:val="002C264F"/>
    <w:rsid w:val="002C3DA3"/>
    <w:rsid w:val="002C4C6B"/>
    <w:rsid w:val="002C6724"/>
    <w:rsid w:val="002D2835"/>
    <w:rsid w:val="002D4016"/>
    <w:rsid w:val="002D6BE5"/>
    <w:rsid w:val="002F31F2"/>
    <w:rsid w:val="00300398"/>
    <w:rsid w:val="00305744"/>
    <w:rsid w:val="00307456"/>
    <w:rsid w:val="00313A07"/>
    <w:rsid w:val="0031680C"/>
    <w:rsid w:val="00320EC0"/>
    <w:rsid w:val="00324527"/>
    <w:rsid w:val="00324671"/>
    <w:rsid w:val="0034161B"/>
    <w:rsid w:val="00353BEA"/>
    <w:rsid w:val="0036249B"/>
    <w:rsid w:val="00371B3A"/>
    <w:rsid w:val="00380C13"/>
    <w:rsid w:val="0038425B"/>
    <w:rsid w:val="003904A3"/>
    <w:rsid w:val="003914F7"/>
    <w:rsid w:val="00394791"/>
    <w:rsid w:val="003953EE"/>
    <w:rsid w:val="00395C24"/>
    <w:rsid w:val="003A0B48"/>
    <w:rsid w:val="003A0CA9"/>
    <w:rsid w:val="003A1523"/>
    <w:rsid w:val="003A2BD1"/>
    <w:rsid w:val="003A3019"/>
    <w:rsid w:val="003A3616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2481"/>
    <w:rsid w:val="00410199"/>
    <w:rsid w:val="00411955"/>
    <w:rsid w:val="00414934"/>
    <w:rsid w:val="00425F8E"/>
    <w:rsid w:val="004328BD"/>
    <w:rsid w:val="004421C9"/>
    <w:rsid w:val="004645E1"/>
    <w:rsid w:val="00470C0C"/>
    <w:rsid w:val="0048333F"/>
    <w:rsid w:val="004838BA"/>
    <w:rsid w:val="00486C7C"/>
    <w:rsid w:val="00491D30"/>
    <w:rsid w:val="004A0B29"/>
    <w:rsid w:val="004A5FF0"/>
    <w:rsid w:val="004A7069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0506B"/>
    <w:rsid w:val="00506F8E"/>
    <w:rsid w:val="00510B1D"/>
    <w:rsid w:val="00512990"/>
    <w:rsid w:val="00512F6A"/>
    <w:rsid w:val="0051391B"/>
    <w:rsid w:val="00514651"/>
    <w:rsid w:val="00515469"/>
    <w:rsid w:val="005217B9"/>
    <w:rsid w:val="00540C62"/>
    <w:rsid w:val="00546BBF"/>
    <w:rsid w:val="005502A8"/>
    <w:rsid w:val="00563B0A"/>
    <w:rsid w:val="00571426"/>
    <w:rsid w:val="00576B1B"/>
    <w:rsid w:val="005818E0"/>
    <w:rsid w:val="00585A9E"/>
    <w:rsid w:val="005909A6"/>
    <w:rsid w:val="00591422"/>
    <w:rsid w:val="005A1370"/>
    <w:rsid w:val="005A1BCE"/>
    <w:rsid w:val="005A545B"/>
    <w:rsid w:val="005A7F88"/>
    <w:rsid w:val="005B0D65"/>
    <w:rsid w:val="005B66AC"/>
    <w:rsid w:val="005C1C14"/>
    <w:rsid w:val="005C2FA9"/>
    <w:rsid w:val="005C525E"/>
    <w:rsid w:val="005D4C92"/>
    <w:rsid w:val="005D7EF0"/>
    <w:rsid w:val="005E1C07"/>
    <w:rsid w:val="005E4AEF"/>
    <w:rsid w:val="005E7872"/>
    <w:rsid w:val="005F5CE7"/>
    <w:rsid w:val="005F6C37"/>
    <w:rsid w:val="006125DC"/>
    <w:rsid w:val="00616549"/>
    <w:rsid w:val="00620976"/>
    <w:rsid w:val="006238E8"/>
    <w:rsid w:val="00631B84"/>
    <w:rsid w:val="00640C8F"/>
    <w:rsid w:val="00643D60"/>
    <w:rsid w:val="00644E3C"/>
    <w:rsid w:val="00656A8D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589E"/>
    <w:rsid w:val="006D73FE"/>
    <w:rsid w:val="00702EC9"/>
    <w:rsid w:val="007157BA"/>
    <w:rsid w:val="00720A0C"/>
    <w:rsid w:val="00722452"/>
    <w:rsid w:val="0072440E"/>
    <w:rsid w:val="00726C75"/>
    <w:rsid w:val="0073016D"/>
    <w:rsid w:val="00737F82"/>
    <w:rsid w:val="00745AEF"/>
    <w:rsid w:val="007548E4"/>
    <w:rsid w:val="00757DA7"/>
    <w:rsid w:val="00771D1B"/>
    <w:rsid w:val="00776B6C"/>
    <w:rsid w:val="00780FCF"/>
    <w:rsid w:val="00784EC6"/>
    <w:rsid w:val="00785B7A"/>
    <w:rsid w:val="00786FF9"/>
    <w:rsid w:val="00787D56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137"/>
    <w:rsid w:val="007D7DBE"/>
    <w:rsid w:val="007E354C"/>
    <w:rsid w:val="007E4836"/>
    <w:rsid w:val="007F203B"/>
    <w:rsid w:val="007F5A09"/>
    <w:rsid w:val="007F6BC7"/>
    <w:rsid w:val="0080670D"/>
    <w:rsid w:val="008318D1"/>
    <w:rsid w:val="008340A1"/>
    <w:rsid w:val="00837C92"/>
    <w:rsid w:val="00843E94"/>
    <w:rsid w:val="00870758"/>
    <w:rsid w:val="0087225B"/>
    <w:rsid w:val="008722BF"/>
    <w:rsid w:val="00885912"/>
    <w:rsid w:val="00895BCA"/>
    <w:rsid w:val="00896DD0"/>
    <w:rsid w:val="008C0BC3"/>
    <w:rsid w:val="008D4CF1"/>
    <w:rsid w:val="008F0BC0"/>
    <w:rsid w:val="008F3B07"/>
    <w:rsid w:val="008F4D6B"/>
    <w:rsid w:val="008F5FC1"/>
    <w:rsid w:val="0090226D"/>
    <w:rsid w:val="009026CC"/>
    <w:rsid w:val="00903842"/>
    <w:rsid w:val="00906179"/>
    <w:rsid w:val="0090758E"/>
    <w:rsid w:val="00915C88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53E5B"/>
    <w:rsid w:val="00960953"/>
    <w:rsid w:val="0096404B"/>
    <w:rsid w:val="00964088"/>
    <w:rsid w:val="00965C3F"/>
    <w:rsid w:val="00981DC9"/>
    <w:rsid w:val="00984681"/>
    <w:rsid w:val="00987901"/>
    <w:rsid w:val="00987F55"/>
    <w:rsid w:val="00993A75"/>
    <w:rsid w:val="0099733D"/>
    <w:rsid w:val="009A0CDF"/>
    <w:rsid w:val="009A140E"/>
    <w:rsid w:val="009A2DD5"/>
    <w:rsid w:val="009A7498"/>
    <w:rsid w:val="009C0423"/>
    <w:rsid w:val="009D2736"/>
    <w:rsid w:val="009D5AD6"/>
    <w:rsid w:val="009E39D1"/>
    <w:rsid w:val="009F051F"/>
    <w:rsid w:val="009F3348"/>
    <w:rsid w:val="00A02696"/>
    <w:rsid w:val="00A13A80"/>
    <w:rsid w:val="00A15197"/>
    <w:rsid w:val="00A15FFD"/>
    <w:rsid w:val="00A177C1"/>
    <w:rsid w:val="00A20BC4"/>
    <w:rsid w:val="00A2179E"/>
    <w:rsid w:val="00A24025"/>
    <w:rsid w:val="00A26031"/>
    <w:rsid w:val="00A27528"/>
    <w:rsid w:val="00A30FC1"/>
    <w:rsid w:val="00A33BD6"/>
    <w:rsid w:val="00A46262"/>
    <w:rsid w:val="00A50A23"/>
    <w:rsid w:val="00A66E56"/>
    <w:rsid w:val="00A70C3C"/>
    <w:rsid w:val="00A70D1C"/>
    <w:rsid w:val="00A719DA"/>
    <w:rsid w:val="00A73047"/>
    <w:rsid w:val="00A73C1A"/>
    <w:rsid w:val="00A73C55"/>
    <w:rsid w:val="00A762FE"/>
    <w:rsid w:val="00A823E1"/>
    <w:rsid w:val="00A93240"/>
    <w:rsid w:val="00A9451E"/>
    <w:rsid w:val="00A94BB0"/>
    <w:rsid w:val="00AA1391"/>
    <w:rsid w:val="00AA1503"/>
    <w:rsid w:val="00AA7779"/>
    <w:rsid w:val="00AB2BFD"/>
    <w:rsid w:val="00AB547A"/>
    <w:rsid w:val="00AB6F6C"/>
    <w:rsid w:val="00AC3AE8"/>
    <w:rsid w:val="00AC4D63"/>
    <w:rsid w:val="00AD1F79"/>
    <w:rsid w:val="00AE2B60"/>
    <w:rsid w:val="00AE5062"/>
    <w:rsid w:val="00AE77C8"/>
    <w:rsid w:val="00B00431"/>
    <w:rsid w:val="00B033AA"/>
    <w:rsid w:val="00B03B44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33ED"/>
    <w:rsid w:val="00B65EA3"/>
    <w:rsid w:val="00B6675B"/>
    <w:rsid w:val="00B7524E"/>
    <w:rsid w:val="00B75B0F"/>
    <w:rsid w:val="00B8029B"/>
    <w:rsid w:val="00B85E25"/>
    <w:rsid w:val="00B9023F"/>
    <w:rsid w:val="00B90CC1"/>
    <w:rsid w:val="00BA4FE4"/>
    <w:rsid w:val="00BC58B3"/>
    <w:rsid w:val="00BD3E97"/>
    <w:rsid w:val="00BD6F7E"/>
    <w:rsid w:val="00BD7BD1"/>
    <w:rsid w:val="00BE0258"/>
    <w:rsid w:val="00BE1D91"/>
    <w:rsid w:val="00BE7CF9"/>
    <w:rsid w:val="00BF27B4"/>
    <w:rsid w:val="00C03C05"/>
    <w:rsid w:val="00C11B86"/>
    <w:rsid w:val="00C12E4C"/>
    <w:rsid w:val="00C2368A"/>
    <w:rsid w:val="00C2500E"/>
    <w:rsid w:val="00C26CF2"/>
    <w:rsid w:val="00C30B08"/>
    <w:rsid w:val="00C31092"/>
    <w:rsid w:val="00C3155D"/>
    <w:rsid w:val="00C336B0"/>
    <w:rsid w:val="00C3611F"/>
    <w:rsid w:val="00C362B1"/>
    <w:rsid w:val="00C40EEE"/>
    <w:rsid w:val="00C44181"/>
    <w:rsid w:val="00C45476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E53BC"/>
    <w:rsid w:val="00CF557C"/>
    <w:rsid w:val="00CF56DA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35335"/>
    <w:rsid w:val="00D42F51"/>
    <w:rsid w:val="00D440A2"/>
    <w:rsid w:val="00D45EB2"/>
    <w:rsid w:val="00D62F22"/>
    <w:rsid w:val="00D66204"/>
    <w:rsid w:val="00D6736D"/>
    <w:rsid w:val="00D70F0A"/>
    <w:rsid w:val="00D71248"/>
    <w:rsid w:val="00D74E89"/>
    <w:rsid w:val="00D75138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B754E"/>
    <w:rsid w:val="00DC01FA"/>
    <w:rsid w:val="00DC2435"/>
    <w:rsid w:val="00DC70A0"/>
    <w:rsid w:val="00DD3F40"/>
    <w:rsid w:val="00DD4683"/>
    <w:rsid w:val="00DE1910"/>
    <w:rsid w:val="00DE2756"/>
    <w:rsid w:val="00DE3CE3"/>
    <w:rsid w:val="00DF160C"/>
    <w:rsid w:val="00DF2A94"/>
    <w:rsid w:val="00DF49A1"/>
    <w:rsid w:val="00DF5793"/>
    <w:rsid w:val="00E0561F"/>
    <w:rsid w:val="00E05A7C"/>
    <w:rsid w:val="00E10A6E"/>
    <w:rsid w:val="00E12B5D"/>
    <w:rsid w:val="00E16787"/>
    <w:rsid w:val="00E25007"/>
    <w:rsid w:val="00E3093B"/>
    <w:rsid w:val="00E4084B"/>
    <w:rsid w:val="00E44850"/>
    <w:rsid w:val="00E51419"/>
    <w:rsid w:val="00E611EC"/>
    <w:rsid w:val="00E62D97"/>
    <w:rsid w:val="00E75CB3"/>
    <w:rsid w:val="00E90C8A"/>
    <w:rsid w:val="00E918DE"/>
    <w:rsid w:val="00EA12E2"/>
    <w:rsid w:val="00EA34F6"/>
    <w:rsid w:val="00EB1CD0"/>
    <w:rsid w:val="00EB3B3F"/>
    <w:rsid w:val="00EC51D9"/>
    <w:rsid w:val="00ED08F3"/>
    <w:rsid w:val="00ED3C93"/>
    <w:rsid w:val="00ED797C"/>
    <w:rsid w:val="00EE1C03"/>
    <w:rsid w:val="00EE24AD"/>
    <w:rsid w:val="00EE2C4F"/>
    <w:rsid w:val="00EE4E05"/>
    <w:rsid w:val="00EE56D3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404A"/>
    <w:rsid w:val="00F36500"/>
    <w:rsid w:val="00F47834"/>
    <w:rsid w:val="00F564C9"/>
    <w:rsid w:val="00F7041D"/>
    <w:rsid w:val="00F821A8"/>
    <w:rsid w:val="00F875DB"/>
    <w:rsid w:val="00F96EF5"/>
    <w:rsid w:val="00F97962"/>
    <w:rsid w:val="00FA3341"/>
    <w:rsid w:val="00FA62A8"/>
    <w:rsid w:val="00FC02F5"/>
    <w:rsid w:val="00FC765C"/>
    <w:rsid w:val="00FD3794"/>
    <w:rsid w:val="00FD39D9"/>
    <w:rsid w:val="00FD6642"/>
    <w:rsid w:val="00FE061B"/>
    <w:rsid w:val="00FF090B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39</cp:revision>
  <cp:lastPrinted>2009-06-29T14:18:00Z</cp:lastPrinted>
  <dcterms:created xsi:type="dcterms:W3CDTF">2020-10-02T10:21:00Z</dcterms:created>
  <dcterms:modified xsi:type="dcterms:W3CDTF">2025-04-02T15:01:00Z</dcterms:modified>
</cp:coreProperties>
</file>