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6C9F" w14:textId="77777777" w:rsidR="00527319" w:rsidRDefault="00000000">
      <w:pPr>
        <w:spacing w:after="80"/>
      </w:pPr>
      <w:r>
        <w:rPr>
          <w:b/>
          <w:bCs/>
          <w:caps/>
          <w:color w:val="1B4F72"/>
          <w:sz w:val="18"/>
          <w:szCs w:val="18"/>
        </w:rPr>
        <w:t>DATA WATCH</w:t>
      </w:r>
    </w:p>
    <w:p w14:paraId="16CD01A8" w14:textId="77777777" w:rsidR="00527319" w:rsidRDefault="00000000">
      <w:pPr>
        <w:spacing w:after="120"/>
      </w:pPr>
      <w:r>
        <w:rPr>
          <w:rFonts w:ascii="Cambria" w:eastAsia="Cambria" w:hAnsi="Cambria" w:cs="Cambria"/>
          <w:b/>
          <w:bCs/>
          <w:color w:val="1C2833"/>
          <w:sz w:val="30"/>
          <w:szCs w:val="30"/>
        </w:rPr>
        <w:t>One in Three Type 2 Diabetes Patients Fails to Complete Follow-Up Care: Evidence from a Care Funnel Analysis Across Insurance Type, Cost Exposure, Income, and Age</w:t>
      </w:r>
    </w:p>
    <w:p w14:paraId="51C5411A" w14:textId="0E948D93" w:rsidR="00527319" w:rsidRDefault="00526AAF">
      <w:pPr>
        <w:spacing w:after="240"/>
      </w:pPr>
      <w:r>
        <w:rPr>
          <w:i/>
          <w:iCs/>
          <w:color w:val="626567"/>
          <w:sz w:val="19"/>
          <w:szCs w:val="19"/>
        </w:rPr>
        <w:t xml:space="preserve">Dhairya </w:t>
      </w:r>
      <w:proofErr w:type="gramStart"/>
      <w:r>
        <w:rPr>
          <w:i/>
          <w:iCs/>
          <w:color w:val="626567"/>
          <w:sz w:val="19"/>
          <w:szCs w:val="19"/>
        </w:rPr>
        <w:t>Lunia</w:t>
      </w:r>
      <w:r w:rsidR="00000000">
        <w:rPr>
          <w:i/>
          <w:iCs/>
          <w:color w:val="626567"/>
          <w:sz w:val="19"/>
          <w:szCs w:val="19"/>
        </w:rPr>
        <w:t xml:space="preserve">  |</w:t>
      </w:r>
      <w:proofErr w:type="gramEnd"/>
      <w:r w:rsidR="00000000">
        <w:rPr>
          <w:i/>
          <w:iCs/>
          <w:color w:val="626567"/>
          <w:sz w:val="19"/>
          <w:szCs w:val="19"/>
        </w:rPr>
        <w:t xml:space="preserve">  MILI 6963 Healthcare </w:t>
      </w:r>
      <w:proofErr w:type="gramStart"/>
      <w:r w:rsidR="00000000">
        <w:rPr>
          <w:i/>
          <w:iCs/>
          <w:color w:val="626567"/>
          <w:sz w:val="19"/>
          <w:szCs w:val="19"/>
        </w:rPr>
        <w:t>Analytics  |</w:t>
      </w:r>
      <w:proofErr w:type="gramEnd"/>
      <w:r w:rsidR="00000000">
        <w:rPr>
          <w:i/>
          <w:iCs/>
          <w:color w:val="626567"/>
          <w:sz w:val="19"/>
          <w:szCs w:val="19"/>
        </w:rPr>
        <w:t xml:space="preserve">  University of Minnesota, Carlson School of </w:t>
      </w:r>
      <w:proofErr w:type="gramStart"/>
      <w:r w:rsidR="00000000">
        <w:rPr>
          <w:i/>
          <w:iCs/>
          <w:color w:val="626567"/>
          <w:sz w:val="19"/>
          <w:szCs w:val="19"/>
        </w:rPr>
        <w:t>Management  |</w:t>
      </w:r>
      <w:proofErr w:type="gramEnd"/>
      <w:r w:rsidR="00000000">
        <w:rPr>
          <w:i/>
          <w:iCs/>
          <w:color w:val="626567"/>
          <w:sz w:val="19"/>
          <w:szCs w:val="19"/>
        </w:rPr>
        <w:t xml:space="preserve">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319" w14:paraId="6F8A08DF"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D6EAF8"/>
            <w:tcMar>
              <w:top w:w="100" w:type="dxa"/>
              <w:left w:w="140" w:type="dxa"/>
              <w:bottom w:w="100" w:type="dxa"/>
              <w:right w:w="140" w:type="dxa"/>
            </w:tcMar>
          </w:tcPr>
          <w:p w14:paraId="175F6FB2" w14:textId="77777777" w:rsidR="00527319" w:rsidRDefault="00000000">
            <w:pPr>
              <w:spacing w:after="60"/>
            </w:pPr>
            <w:r>
              <w:rPr>
                <w:b/>
                <w:bCs/>
                <w:caps/>
                <w:color w:val="1B4F72"/>
                <w:sz w:val="20"/>
                <w:szCs w:val="20"/>
              </w:rPr>
              <w:t>KEY FINDING</w:t>
            </w:r>
          </w:p>
          <w:p w14:paraId="434CACB2" w14:textId="77777777" w:rsidR="00527319" w:rsidRDefault="00000000">
            <w:pPr>
              <w:jc w:val="both"/>
            </w:pPr>
            <w:r>
              <w:rPr>
                <w:color w:val="1C2833"/>
                <w:sz w:val="21"/>
                <w:szCs w:val="21"/>
              </w:rPr>
              <w:t xml:space="preserve">Among 22,989 patients with Type 2 Diabetes Mellitus (T2DM) in the 2014 </w:t>
            </w:r>
            <w:proofErr w:type="spellStart"/>
            <w:r>
              <w:rPr>
                <w:color w:val="1C2833"/>
                <w:sz w:val="21"/>
                <w:szCs w:val="21"/>
              </w:rPr>
              <w:t>Uni_USA</w:t>
            </w:r>
            <w:proofErr w:type="spellEnd"/>
            <w:r>
              <w:rPr>
                <w:color w:val="1C2833"/>
                <w:sz w:val="21"/>
                <w:szCs w:val="21"/>
              </w:rPr>
              <w:t xml:space="preserve"> Synthetic Claims Database, 86.7% received documented treatment and 66.9% achieved follow-up care — a 33.1% cumulative drop-off representing roughly 1 in 3 diagnosed patients. Medicare FFS and Medicare Advantage enrollees demonstrated the strongest care continuity (73.2% and 72.5% follow-up), while Medicaid and non-group enrollees trailed at 56.1% — a 17 percentage-point gap. Counter-intuitively, patients with higher out-of-pocket (OOP) spending showed better follow-up rates, reflecting a care engagement effect among sicker patients; income proved to be the more meaningful financial barrier, with patients above 400% of the federal poverty level achieving 69.6% follow-up versus 54.8% for those at 138-250% FPL. Young adults aged 19-34 faced the steepest attrition (56.6% drop-off), while patients with multiple comorbidities paradoxically showed the best care continuity.</w:t>
            </w:r>
          </w:p>
        </w:tc>
      </w:tr>
    </w:tbl>
    <w:p w14:paraId="1D83358B" w14:textId="77777777" w:rsidR="00527319" w:rsidRDefault="00527319">
      <w:pPr>
        <w:spacing w:after="120"/>
      </w:pPr>
    </w:p>
    <w:p w14:paraId="4DA9E9F1" w14:textId="77777777" w:rsidR="00527319" w:rsidRDefault="00527319">
      <w:pPr>
        <w:spacing w:after="120"/>
      </w:pPr>
    </w:p>
    <w:p w14:paraId="0A80913B" w14:textId="77777777" w:rsidR="00527319" w:rsidRDefault="00000000">
      <w:pPr>
        <w:pStyle w:val="Heading1"/>
      </w:pPr>
      <w:r>
        <w:t>Background</w:t>
      </w:r>
    </w:p>
    <w:p w14:paraId="01502D46" w14:textId="77777777" w:rsidR="00527319" w:rsidRDefault="00000000">
      <w:pPr>
        <w:spacing w:after="160"/>
        <w:jc w:val="both"/>
      </w:pPr>
      <w:r>
        <w:rPr>
          <w:color w:val="1C2833"/>
        </w:rPr>
        <w:t>Type 2 diabetes mellitus (T2DM) affects approximately 37 million Americans and accounts for an estimated $327 billion in annual direct and indirect costs. Clinical guidelines from the American Diabetes Association call for a coordinated care sequence: timely diagnosis, initiation of glycemic management, and sustained follow-up including hemoglobin A1c monitoring, medication adjustment, and comorbidity management. Despite clear guidance, gaps in care continuity — particularly between initial diagnosis and ongoing follow-up — are well-documented and represent a major driver of preventable complications including nephropathy, neuropathy, and cardiovascular disease.</w:t>
      </w:r>
    </w:p>
    <w:p w14:paraId="7BE589AD" w14:textId="77777777" w:rsidR="00527319" w:rsidRDefault="00000000">
      <w:pPr>
        <w:spacing w:after="160"/>
        <w:jc w:val="both"/>
      </w:pPr>
      <w:r>
        <w:rPr>
          <w:color w:val="1C2833"/>
        </w:rPr>
        <w:t>This paper applies a care funnel framework to health insurance claims data to quantify where along the care pathway T2DM patients disengage. The care funnel, adapted from business pipeline analytics, tracks patients through discrete stages and identifies the precise points of greatest attrition. We hypothesized that significant drop-off would occur between diagnosis and follow-up, that higher patient cost exposure would be associated with lower continuation rates, and that insurance type, income, age, and geography would reveal meaningful variation.</w:t>
      </w:r>
    </w:p>
    <w:p w14:paraId="2FDFBB58" w14:textId="77777777" w:rsidR="00527319" w:rsidRDefault="00527319">
      <w:pPr>
        <w:spacing w:after="120"/>
      </w:pPr>
    </w:p>
    <w:p w14:paraId="3522E9F9" w14:textId="77777777" w:rsidR="00527319" w:rsidRDefault="00000000">
      <w:pPr>
        <w:pStyle w:val="Heading1"/>
      </w:pPr>
      <w:r>
        <w:t>Data and Methods</w:t>
      </w:r>
    </w:p>
    <w:p w14:paraId="1776C87B" w14:textId="77777777" w:rsidR="00527319" w:rsidRDefault="00000000">
      <w:pPr>
        <w:spacing w:after="160"/>
        <w:jc w:val="both"/>
      </w:pPr>
      <w:r>
        <w:rPr>
          <w:color w:val="1C2833"/>
        </w:rPr>
        <w:t xml:space="preserve">This analysis uses the 2014 </w:t>
      </w:r>
      <w:proofErr w:type="spellStart"/>
      <w:r>
        <w:rPr>
          <w:color w:val="1C2833"/>
        </w:rPr>
        <w:t>Uni_USA</w:t>
      </w:r>
      <w:proofErr w:type="spellEnd"/>
      <w:r>
        <w:rPr>
          <w:color w:val="1C2833"/>
        </w:rPr>
        <w:t xml:space="preserve"> Synthetic Claims Database, a HIPAA-compliant synthetic dataset developed from de-identified insurance claims by Professor Stephen Parente at the University of Minnesota. The claims file contains 8,837,716 records across 24 variables; the membership file contains 270,326 enrollees representing the 2014 U.S. insured population across five coverage segments: employer-sponsored insurance (ESI), Medicaid, individual non-group (ACA Exchange), Medicare fee-for-service (FFS), and Medicare Advantage. Each enrollee carries a population weight (NATION_WGT) calibrated to the 2014 U.S. population; all reported rates are population-weighted for national representativeness.</w:t>
      </w:r>
    </w:p>
    <w:p w14:paraId="42F5D40D" w14:textId="77777777" w:rsidR="00527319" w:rsidRDefault="00000000">
      <w:pPr>
        <w:spacing w:after="160"/>
        <w:jc w:val="both"/>
      </w:pPr>
      <w:r>
        <w:rPr>
          <w:color w:val="1C2833"/>
        </w:rPr>
        <w:t xml:space="preserve">We identified 22,989 beneficiaries with at least one claim carrying an ICD-9 T2DM diagnosis code (250.x0 or 250.x2) in any of three diagnosis fields. Three care funnel stages were defined: (1) initial T2DM diagnosis; (2) a </w:t>
      </w:r>
      <w:r>
        <w:rPr>
          <w:color w:val="1C2833"/>
        </w:rPr>
        <w:lastRenderedPageBreak/>
        <w:t>diabetes management or laboratory claim — including office evaluation and management visits (CPT 99201-99215), hemoglobin A1c testing (CPT 83036-83037), diabetes education (G0108-G0109), and telehealth E&amp;M (99441-99443) — at least 30 days after the first diagnosis date; and (3) any subsequent claim at least 90 days after the treatment claim, representing follow-up care. Service dates were recovered using a coalesce strategy — character-format dates for non-Medicare claims and numeric SAS date values for Medicare claims — ensuring complete date coverage across all insurance types.</w:t>
      </w:r>
    </w:p>
    <w:p w14:paraId="6BD4C77E" w14:textId="77777777" w:rsidR="00527319" w:rsidRDefault="00000000">
      <w:pPr>
        <w:spacing w:after="160"/>
        <w:jc w:val="both"/>
      </w:pPr>
      <w:r>
        <w:rPr>
          <w:color w:val="1C2833"/>
        </w:rPr>
        <w:t xml:space="preserve">Analyses were stratified by patient out-of-pocket (OOP) cost tier (Low: &lt;$500; Medium: $500-$2,999; High: &gt;=$3,000, with OOP defined as coinsurance + deductible + copayment), insurance type, age category, census region, household income as a percentage of the federal poverty level (FPL), and count of common comorbidities (hypertension ICD-9 401.xx, hyperlipidemia 272.xx, obesity 278.xx). All analyses were conducted in R using the haven and </w:t>
      </w:r>
      <w:proofErr w:type="spellStart"/>
      <w:r>
        <w:rPr>
          <w:color w:val="1C2833"/>
        </w:rPr>
        <w:t>dplyr</w:t>
      </w:r>
      <w:proofErr w:type="spellEnd"/>
      <w:r>
        <w:rPr>
          <w:color w:val="1C2833"/>
        </w:rPr>
        <w:t xml:space="preserve"> packages. This is a descriptive study using synthetic data; no statistical inference was performed.</w:t>
      </w:r>
    </w:p>
    <w:p w14:paraId="5CF625A2" w14:textId="77777777" w:rsidR="00527319" w:rsidRDefault="00527319">
      <w:pPr>
        <w:spacing w:after="120"/>
      </w:pPr>
    </w:p>
    <w:p w14:paraId="6A0E913D" w14:textId="77777777" w:rsidR="00527319" w:rsidRDefault="00000000">
      <w:pPr>
        <w:pStyle w:val="Heading1"/>
      </w:pPr>
      <w:r>
        <w:t>Results</w:t>
      </w:r>
    </w:p>
    <w:p w14:paraId="4BE6C5C0" w14:textId="77777777" w:rsidR="00527319" w:rsidRDefault="00000000">
      <w:pPr>
        <w:pStyle w:val="Heading2"/>
      </w:pPr>
      <w:r>
        <w:t>Overall Care Funnel</w:t>
      </w:r>
    </w:p>
    <w:p w14:paraId="6F3D2280" w14:textId="77777777" w:rsidR="00527319" w:rsidRDefault="00000000">
      <w:pPr>
        <w:spacing w:after="160"/>
        <w:jc w:val="both"/>
      </w:pPr>
      <w:r>
        <w:rPr>
          <w:color w:val="1C2833"/>
        </w:rPr>
        <w:t>Exhibit 1 presents the complete care funnel. Of 22,989 patients diagnosed with T2DM in 2014, 19,939 (86.7%) received a treatment or management service, and 15,422 (66.9%) had documented follow-up care. The most significant attrition occurs between treatment and follow-up: of the 19,939 patients who received treatment, 22.7% did not return for follow-up within the year. Cumulatively, 33.1% of all diagnosed T2DM patients — roughly 1 in 3 — did not complete the full care pathway. Population weighting yields virtually identical rates (86.7% treatment, 66.9% follow-up), confirming that sample composition closely mirrors the 2014 U.S. insured population.</w:t>
      </w:r>
    </w:p>
    <w:p w14:paraId="17617AD8" w14:textId="77777777" w:rsidR="00527319" w:rsidRDefault="00000000">
      <w:pPr>
        <w:spacing w:after="60"/>
      </w:pPr>
      <w:r>
        <w:rPr>
          <w:b/>
          <w:bCs/>
          <w:color w:val="1C2833"/>
          <w:sz w:val="20"/>
          <w:szCs w:val="20"/>
        </w:rPr>
        <w:t xml:space="preserve">Exhibit 1. Patient Care Funnel: Type 2 Diabetes, 2014 </w:t>
      </w:r>
      <w:proofErr w:type="spellStart"/>
      <w:r>
        <w:rPr>
          <w:b/>
          <w:bCs/>
          <w:color w:val="1C2833"/>
          <w:sz w:val="20"/>
          <w:szCs w:val="20"/>
        </w:rPr>
        <w:t>Uni_USA</w:t>
      </w:r>
      <w:proofErr w:type="spellEnd"/>
      <w:r>
        <w:rPr>
          <w:b/>
          <w:bCs/>
          <w:color w:val="1C2833"/>
          <w:sz w:val="20"/>
          <w:szCs w:val="20"/>
        </w:rPr>
        <w:t xml:space="preserve"> Synthetic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2230"/>
        <w:gridCol w:w="2230"/>
      </w:tblGrid>
      <w:tr w:rsidR="00527319" w14:paraId="7CBF08B0" w14:textId="77777777">
        <w:tblPrEx>
          <w:tblCellMar>
            <w:top w:w="0" w:type="dxa"/>
            <w:bottom w:w="0" w:type="dxa"/>
          </w:tblCellMar>
        </w:tblPrEx>
        <w:tc>
          <w:tcPr>
            <w:tcW w:w="34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11B26B24" w14:textId="77777777" w:rsidR="00527319" w:rsidRDefault="00000000">
            <w:pPr>
              <w:jc w:val="center"/>
            </w:pPr>
            <w:r>
              <w:rPr>
                <w:b/>
                <w:bCs/>
                <w:color w:val="FFFFFF"/>
                <w:sz w:val="19"/>
                <w:szCs w:val="19"/>
              </w:rPr>
              <w:t>Stage of Care</w:t>
            </w:r>
          </w:p>
        </w:tc>
        <w:tc>
          <w:tcPr>
            <w:tcW w:w="15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04C5002D" w14:textId="77777777" w:rsidR="00527319" w:rsidRDefault="00000000">
            <w:pPr>
              <w:jc w:val="center"/>
            </w:pPr>
            <w:r>
              <w:rPr>
                <w:b/>
                <w:bCs/>
                <w:color w:val="FFFFFF"/>
                <w:sz w:val="19"/>
                <w:szCs w:val="19"/>
              </w:rPr>
              <w:t>N Patients</w:t>
            </w:r>
          </w:p>
        </w:tc>
        <w:tc>
          <w:tcPr>
            <w:tcW w:w="223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14A46563" w14:textId="77777777" w:rsidR="00527319" w:rsidRDefault="00000000">
            <w:pPr>
              <w:jc w:val="center"/>
            </w:pPr>
            <w:r>
              <w:rPr>
                <w:b/>
                <w:bCs/>
                <w:color w:val="FFFFFF"/>
                <w:sz w:val="19"/>
                <w:szCs w:val="19"/>
              </w:rPr>
              <w:t>% (Unweighted)</w:t>
            </w:r>
          </w:p>
        </w:tc>
        <w:tc>
          <w:tcPr>
            <w:tcW w:w="223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01D252CC" w14:textId="77777777" w:rsidR="00527319" w:rsidRDefault="00000000">
            <w:pPr>
              <w:jc w:val="center"/>
            </w:pPr>
            <w:r>
              <w:rPr>
                <w:b/>
                <w:bCs/>
                <w:color w:val="FFFFFF"/>
                <w:sz w:val="19"/>
                <w:szCs w:val="19"/>
              </w:rPr>
              <w:t>% (Pop. Weighted)</w:t>
            </w:r>
          </w:p>
        </w:tc>
      </w:tr>
      <w:tr w:rsidR="00527319" w14:paraId="4AB3FDEE" w14:textId="77777777">
        <w:tblPrEx>
          <w:tblCellMar>
            <w:top w:w="0" w:type="dxa"/>
            <w:bottom w:w="0" w:type="dxa"/>
          </w:tblCellMar>
        </w:tblPrEx>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BD4B10" w14:textId="77777777" w:rsidR="00527319" w:rsidRDefault="00000000">
            <w:pPr>
              <w:jc w:val="center"/>
            </w:pPr>
            <w:r>
              <w:rPr>
                <w:color w:val="1C2833"/>
                <w:sz w:val="19"/>
                <w:szCs w:val="19"/>
              </w:rPr>
              <w:t>Stage 1: Initial T2DM Diagnosis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F590C9" w14:textId="77777777" w:rsidR="00527319" w:rsidRDefault="00000000">
            <w:pPr>
              <w:jc w:val="center"/>
            </w:pPr>
            <w:r>
              <w:rPr>
                <w:color w:val="1C2833"/>
                <w:sz w:val="19"/>
                <w:szCs w:val="19"/>
              </w:rPr>
              <w:t>22,989</w:t>
            </w:r>
          </w:p>
        </w:tc>
        <w:tc>
          <w:tcPr>
            <w:tcW w:w="22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C03F0B" w14:textId="77777777" w:rsidR="00527319" w:rsidRDefault="00000000">
            <w:pPr>
              <w:jc w:val="center"/>
            </w:pPr>
            <w:r>
              <w:rPr>
                <w:color w:val="1C2833"/>
                <w:sz w:val="19"/>
                <w:szCs w:val="19"/>
              </w:rPr>
              <w:t>100.0%</w:t>
            </w:r>
          </w:p>
        </w:tc>
        <w:tc>
          <w:tcPr>
            <w:tcW w:w="22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3F6288" w14:textId="77777777" w:rsidR="00527319" w:rsidRDefault="00000000">
            <w:pPr>
              <w:jc w:val="center"/>
            </w:pPr>
            <w:r>
              <w:rPr>
                <w:color w:val="1C2833"/>
                <w:sz w:val="19"/>
                <w:szCs w:val="19"/>
              </w:rPr>
              <w:t>100.0%</w:t>
            </w:r>
          </w:p>
        </w:tc>
      </w:tr>
      <w:tr w:rsidR="00527319" w14:paraId="00FDF0EC" w14:textId="77777777">
        <w:tblPrEx>
          <w:tblCellMar>
            <w:top w:w="0" w:type="dxa"/>
            <w:bottom w:w="0" w:type="dxa"/>
          </w:tblCellMar>
        </w:tblPrEx>
        <w:tc>
          <w:tcPr>
            <w:tcW w:w="3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76217D7B" w14:textId="77777777" w:rsidR="00527319" w:rsidRDefault="00000000">
            <w:pPr>
              <w:jc w:val="center"/>
            </w:pPr>
            <w:r>
              <w:rPr>
                <w:color w:val="1C2833"/>
                <w:sz w:val="19"/>
                <w:szCs w:val="19"/>
              </w:rPr>
              <w:t>Stage 2: Received Treatment</w:t>
            </w:r>
          </w:p>
        </w:tc>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7DD7D8B5" w14:textId="77777777" w:rsidR="00527319" w:rsidRDefault="00000000">
            <w:pPr>
              <w:jc w:val="center"/>
            </w:pPr>
            <w:r>
              <w:rPr>
                <w:color w:val="1C2833"/>
                <w:sz w:val="19"/>
                <w:szCs w:val="19"/>
              </w:rPr>
              <w:t>19,939</w:t>
            </w:r>
          </w:p>
        </w:tc>
        <w:tc>
          <w:tcPr>
            <w:tcW w:w="223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5CA18FDD" w14:textId="77777777" w:rsidR="00527319" w:rsidRDefault="00000000">
            <w:pPr>
              <w:jc w:val="center"/>
            </w:pPr>
            <w:r>
              <w:rPr>
                <w:color w:val="1C2833"/>
                <w:sz w:val="19"/>
                <w:szCs w:val="19"/>
              </w:rPr>
              <w:t>86.7%</w:t>
            </w:r>
          </w:p>
        </w:tc>
        <w:tc>
          <w:tcPr>
            <w:tcW w:w="223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3D18F1B8" w14:textId="77777777" w:rsidR="00527319" w:rsidRDefault="00000000">
            <w:pPr>
              <w:jc w:val="center"/>
            </w:pPr>
            <w:r>
              <w:rPr>
                <w:color w:val="1C2833"/>
                <w:sz w:val="19"/>
                <w:szCs w:val="19"/>
              </w:rPr>
              <w:t>86.7%</w:t>
            </w:r>
          </w:p>
        </w:tc>
      </w:tr>
      <w:tr w:rsidR="00527319" w14:paraId="784AD9FC" w14:textId="77777777">
        <w:tblPrEx>
          <w:tblCellMar>
            <w:top w:w="0" w:type="dxa"/>
            <w:bottom w:w="0" w:type="dxa"/>
          </w:tblCellMar>
        </w:tblPrEx>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102F61" w14:textId="77777777" w:rsidR="00527319" w:rsidRDefault="00000000">
            <w:pPr>
              <w:jc w:val="center"/>
            </w:pPr>
            <w:r>
              <w:rPr>
                <w:color w:val="1C2833"/>
                <w:sz w:val="19"/>
                <w:szCs w:val="19"/>
              </w:rPr>
              <w:t>Stage 3: Had Follow-Up Care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F66511" w14:textId="77777777" w:rsidR="00527319" w:rsidRDefault="00000000">
            <w:pPr>
              <w:jc w:val="center"/>
            </w:pPr>
            <w:r>
              <w:rPr>
                <w:color w:val="1C2833"/>
                <w:sz w:val="19"/>
                <w:szCs w:val="19"/>
              </w:rPr>
              <w:t>15,422</w:t>
            </w:r>
          </w:p>
        </w:tc>
        <w:tc>
          <w:tcPr>
            <w:tcW w:w="22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9037CC" w14:textId="77777777" w:rsidR="00527319" w:rsidRDefault="00000000">
            <w:pPr>
              <w:jc w:val="center"/>
            </w:pPr>
            <w:r>
              <w:rPr>
                <w:color w:val="1C2833"/>
                <w:sz w:val="19"/>
                <w:szCs w:val="19"/>
              </w:rPr>
              <w:t>67.1%</w:t>
            </w:r>
          </w:p>
        </w:tc>
        <w:tc>
          <w:tcPr>
            <w:tcW w:w="22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EB95DA9" w14:textId="77777777" w:rsidR="00527319" w:rsidRDefault="00000000">
            <w:pPr>
              <w:jc w:val="center"/>
            </w:pPr>
            <w:r>
              <w:rPr>
                <w:color w:val="1C2833"/>
                <w:sz w:val="19"/>
                <w:szCs w:val="19"/>
              </w:rPr>
              <w:t>66.9%</w:t>
            </w:r>
          </w:p>
        </w:tc>
      </w:tr>
    </w:tbl>
    <w:p w14:paraId="6A997E39" w14:textId="77777777" w:rsidR="00527319" w:rsidRDefault="00000000">
      <w:pPr>
        <w:spacing w:after="80"/>
      </w:pPr>
      <w:r>
        <w:rPr>
          <w:i/>
          <w:iCs/>
          <w:color w:val="626567"/>
          <w:sz w:val="18"/>
          <w:szCs w:val="18"/>
        </w:rPr>
        <w:t xml:space="preserve">Source: 2014 </w:t>
      </w:r>
      <w:proofErr w:type="spellStart"/>
      <w:r>
        <w:rPr>
          <w:i/>
          <w:iCs/>
          <w:color w:val="626567"/>
          <w:sz w:val="18"/>
          <w:szCs w:val="18"/>
        </w:rPr>
        <w:t>Uni_USA</w:t>
      </w:r>
      <w:proofErr w:type="spellEnd"/>
      <w:r>
        <w:rPr>
          <w:i/>
          <w:iCs/>
          <w:color w:val="626567"/>
          <w:sz w:val="18"/>
          <w:szCs w:val="18"/>
        </w:rPr>
        <w:t xml:space="preserve"> Synthetic Claims Database. Rates are population-weighted using NATION_WGT. Treatment defined as CPT-coded E&amp;M, lab, or education claim &gt;=30 days post-diagnosis; follow-up defined as any claim &gt;=90 days post-treatment.</w:t>
      </w:r>
    </w:p>
    <w:p w14:paraId="1D8C3D48" w14:textId="77777777" w:rsidR="00527319" w:rsidRDefault="00527319">
      <w:pPr>
        <w:spacing w:after="120"/>
      </w:pPr>
    </w:p>
    <w:p w14:paraId="2817AE34" w14:textId="77777777" w:rsidR="00527319" w:rsidRDefault="00000000">
      <w:pPr>
        <w:pStyle w:val="Heading2"/>
      </w:pPr>
      <w:r>
        <w:t>Care Continuity by Out-of-Pocket Cost Exposure</w:t>
      </w:r>
    </w:p>
    <w:p w14:paraId="2F82B976" w14:textId="77777777" w:rsidR="00527319" w:rsidRDefault="00000000">
      <w:pPr>
        <w:spacing w:after="160"/>
        <w:jc w:val="both"/>
      </w:pPr>
      <w:r>
        <w:rPr>
          <w:color w:val="1C2833"/>
        </w:rPr>
        <w:t>Exhibit 2 reveals a counter-intuitive relationship between OOP spending and care continuity. Rather than the expected negative gradient, patients in the highest OOP tier (average $6,668) showed the best treatment rates (91.4%) and follow-up rates (79.0%), while low-OOP patients (average $230) had the lowest rates (80.5% and 54.9%). This pattern reflects a care engagement effect: patients with greater disease burden — who generate more claims, incur higher costs, and are more actively managed by providers — naturally accumulate both higher OOP expenses and more follow-up contacts. The low-OOP group, by contrast, may include patients who disengaged from care early, incurring few costs precisely because they stopped seeking treatment.</w:t>
      </w:r>
    </w:p>
    <w:p w14:paraId="4511C307" w14:textId="77777777" w:rsidR="00527319" w:rsidRDefault="00000000">
      <w:pPr>
        <w:spacing w:after="160"/>
        <w:jc w:val="both"/>
      </w:pPr>
      <w:r>
        <w:rPr>
          <w:color w:val="1C2833"/>
        </w:rPr>
        <w:t>Income, examined in supplementary analysis (Exhibit 5 in supplemental materials), proves to be a more direct measure of financial barriers: patients above 400% FPL achieve 69.6% follow-up versus 54.8% for those at 138-250% FPL — a 14.8 percentage-point gap. This suggests that income constraints, not spending levels per se, impede care continuity. Notably, patients just above the Medicaid eligibility threshold (138-250% FPL) show the worst follow-up of any income group, consistent with the coverage cliff phenomenon in which near-poor patients lose Medicaid eligibility but cannot afford robust private coverage.</w:t>
      </w:r>
    </w:p>
    <w:p w14:paraId="5573B13E" w14:textId="77777777" w:rsidR="00527319" w:rsidRDefault="00000000">
      <w:pPr>
        <w:spacing w:after="60"/>
      </w:pPr>
      <w:r>
        <w:rPr>
          <w:b/>
          <w:bCs/>
          <w:color w:val="1C2833"/>
          <w:sz w:val="20"/>
          <w:szCs w:val="20"/>
        </w:rPr>
        <w:lastRenderedPageBreak/>
        <w:t>Exhibit 2. Care Funnel Rates by Out-of-Pocket Cost Exposure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1300"/>
        <w:gridCol w:w="1420"/>
        <w:gridCol w:w="1420"/>
        <w:gridCol w:w="2120"/>
      </w:tblGrid>
      <w:tr w:rsidR="00527319" w14:paraId="76F486E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52637F39" w14:textId="77777777" w:rsidR="00527319" w:rsidRDefault="00000000">
            <w:pPr>
              <w:jc w:val="center"/>
            </w:pPr>
            <w:r>
              <w:rPr>
                <w:b/>
                <w:bCs/>
                <w:color w:val="FFFFFF"/>
                <w:sz w:val="19"/>
                <w:szCs w:val="19"/>
              </w:rPr>
              <w:t>OOP Cost Tier</w:t>
            </w:r>
          </w:p>
        </w:tc>
        <w:tc>
          <w:tcPr>
            <w:tcW w:w="13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4E149688" w14:textId="77777777" w:rsidR="00527319" w:rsidRDefault="00000000">
            <w:pPr>
              <w:jc w:val="center"/>
            </w:pPr>
            <w:r>
              <w:rPr>
                <w:b/>
                <w:bCs/>
                <w:color w:val="FFFFFF"/>
                <w:sz w:val="19"/>
                <w:szCs w:val="19"/>
              </w:rPr>
              <w:t>N Diagnosed</w:t>
            </w:r>
          </w:p>
        </w:tc>
        <w:tc>
          <w:tcPr>
            <w:tcW w:w="13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06DFBDAB" w14:textId="77777777" w:rsidR="00527319" w:rsidRDefault="00000000">
            <w:pPr>
              <w:jc w:val="center"/>
            </w:pPr>
            <w:r>
              <w:rPr>
                <w:b/>
                <w:bCs/>
                <w:color w:val="FFFFFF"/>
                <w:sz w:val="19"/>
                <w:szCs w:val="19"/>
              </w:rPr>
              <w:t>Avg OOP ($)</w:t>
            </w:r>
          </w:p>
        </w:tc>
        <w:tc>
          <w:tcPr>
            <w:tcW w:w="14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507C0FED" w14:textId="77777777" w:rsidR="00527319" w:rsidRDefault="00000000">
            <w:pPr>
              <w:jc w:val="center"/>
            </w:pPr>
            <w:r>
              <w:rPr>
                <w:b/>
                <w:bCs/>
                <w:color w:val="FFFFFF"/>
                <w:sz w:val="19"/>
                <w:szCs w:val="19"/>
              </w:rPr>
              <w:t>% Treated</w:t>
            </w:r>
          </w:p>
        </w:tc>
        <w:tc>
          <w:tcPr>
            <w:tcW w:w="14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427BE9E3" w14:textId="77777777" w:rsidR="00527319" w:rsidRDefault="00000000">
            <w:pPr>
              <w:jc w:val="center"/>
            </w:pPr>
            <w:r>
              <w:rPr>
                <w:b/>
                <w:bCs/>
                <w:color w:val="FFFFFF"/>
                <w:sz w:val="19"/>
                <w:szCs w:val="19"/>
              </w:rPr>
              <w:t>% Follow-Up</w:t>
            </w:r>
          </w:p>
        </w:tc>
        <w:tc>
          <w:tcPr>
            <w:tcW w:w="21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26C88DCC" w14:textId="77777777" w:rsidR="00527319" w:rsidRDefault="00000000">
            <w:pPr>
              <w:jc w:val="center"/>
            </w:pPr>
            <w:r>
              <w:rPr>
                <w:b/>
                <w:bCs/>
                <w:color w:val="FFFFFF"/>
                <w:sz w:val="19"/>
                <w:szCs w:val="19"/>
              </w:rPr>
              <w:t>% Drop-Off</w:t>
            </w:r>
          </w:p>
        </w:tc>
      </w:tr>
      <w:tr w:rsidR="00527319" w14:paraId="228780F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E823D0" w14:textId="77777777" w:rsidR="00527319" w:rsidRDefault="00000000">
            <w:pPr>
              <w:jc w:val="center"/>
            </w:pPr>
            <w:proofErr w:type="gramStart"/>
            <w:r>
              <w:rPr>
                <w:color w:val="1C2833"/>
                <w:sz w:val="19"/>
                <w:szCs w:val="19"/>
              </w:rPr>
              <w:t>Low  (</w:t>
            </w:r>
            <w:proofErr w:type="gramEnd"/>
            <w:r>
              <w:rPr>
                <w:color w:val="1C2833"/>
                <w:sz w:val="19"/>
                <w:szCs w:val="19"/>
              </w:rPr>
              <w:t>OOP &lt; $500)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B29895" w14:textId="77777777" w:rsidR="00527319" w:rsidRDefault="00000000">
            <w:pPr>
              <w:jc w:val="center"/>
            </w:pPr>
            <w:r>
              <w:rPr>
                <w:color w:val="1C2833"/>
                <w:sz w:val="19"/>
                <w:szCs w:val="19"/>
              </w:rPr>
              <w:t>10,333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948AE8" w14:textId="77777777" w:rsidR="00527319" w:rsidRDefault="00000000">
            <w:pPr>
              <w:jc w:val="center"/>
            </w:pPr>
            <w:r>
              <w:rPr>
                <w:color w:val="1C2833"/>
                <w:sz w:val="19"/>
                <w:szCs w:val="19"/>
              </w:rPr>
              <w:t>$230</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A1CD03" w14:textId="77777777" w:rsidR="00527319" w:rsidRDefault="00000000">
            <w:pPr>
              <w:jc w:val="center"/>
            </w:pPr>
            <w:r>
              <w:rPr>
                <w:color w:val="1C2833"/>
                <w:sz w:val="19"/>
                <w:szCs w:val="19"/>
              </w:rPr>
              <w:t>80.5%</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42A0C4" w14:textId="77777777" w:rsidR="00527319" w:rsidRDefault="00000000">
            <w:pPr>
              <w:jc w:val="center"/>
            </w:pPr>
            <w:r>
              <w:rPr>
                <w:color w:val="1C2833"/>
                <w:sz w:val="19"/>
                <w:szCs w:val="19"/>
              </w:rPr>
              <w:t>54.9%</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1E4D48" w14:textId="77777777" w:rsidR="00527319" w:rsidRDefault="00000000">
            <w:pPr>
              <w:jc w:val="center"/>
            </w:pPr>
            <w:r>
              <w:rPr>
                <w:color w:val="1C2833"/>
                <w:sz w:val="19"/>
                <w:szCs w:val="19"/>
              </w:rPr>
              <w:t>45.1%</w:t>
            </w:r>
          </w:p>
        </w:tc>
      </w:tr>
      <w:tr w:rsidR="00527319" w14:paraId="246287F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436BA4AD" w14:textId="77777777" w:rsidR="00527319" w:rsidRDefault="00000000">
            <w:pPr>
              <w:jc w:val="center"/>
            </w:pPr>
            <w:r>
              <w:rPr>
                <w:color w:val="1C2833"/>
                <w:sz w:val="19"/>
                <w:szCs w:val="19"/>
              </w:rPr>
              <w:t>Medium ($500–$2,999)</w:t>
            </w:r>
          </w:p>
        </w:tc>
        <w:tc>
          <w:tcPr>
            <w:tcW w:w="13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39960FC" w14:textId="77777777" w:rsidR="00527319" w:rsidRDefault="00000000">
            <w:pPr>
              <w:jc w:val="center"/>
            </w:pPr>
            <w:r>
              <w:rPr>
                <w:color w:val="1C2833"/>
                <w:sz w:val="19"/>
                <w:szCs w:val="19"/>
              </w:rPr>
              <w:t>9,905</w:t>
            </w:r>
          </w:p>
        </w:tc>
        <w:tc>
          <w:tcPr>
            <w:tcW w:w="13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7E2A58BE" w14:textId="77777777" w:rsidR="00527319" w:rsidRDefault="00000000">
            <w:pPr>
              <w:jc w:val="center"/>
            </w:pPr>
            <w:r>
              <w:rPr>
                <w:color w:val="1C2833"/>
                <w:sz w:val="19"/>
                <w:szCs w:val="19"/>
              </w:rPr>
              <w:t>$1,331</w:t>
            </w:r>
          </w:p>
        </w:tc>
        <w:tc>
          <w:tcPr>
            <w:tcW w:w="14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399B6FE1" w14:textId="77777777" w:rsidR="00527319" w:rsidRDefault="00000000">
            <w:pPr>
              <w:jc w:val="center"/>
            </w:pPr>
            <w:r>
              <w:rPr>
                <w:color w:val="1C2833"/>
                <w:sz w:val="19"/>
                <w:szCs w:val="19"/>
              </w:rPr>
              <w:t>91.1%</w:t>
            </w:r>
          </w:p>
        </w:tc>
        <w:tc>
          <w:tcPr>
            <w:tcW w:w="14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B1FD226" w14:textId="77777777" w:rsidR="00527319" w:rsidRDefault="00000000">
            <w:pPr>
              <w:jc w:val="center"/>
            </w:pPr>
            <w:r>
              <w:rPr>
                <w:color w:val="1C2833"/>
                <w:sz w:val="19"/>
                <w:szCs w:val="19"/>
              </w:rPr>
              <w:t>74.7%</w:t>
            </w:r>
          </w:p>
        </w:tc>
        <w:tc>
          <w:tcPr>
            <w:tcW w:w="21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2ECDB341" w14:textId="77777777" w:rsidR="00527319" w:rsidRDefault="00000000">
            <w:pPr>
              <w:jc w:val="center"/>
            </w:pPr>
            <w:r>
              <w:rPr>
                <w:color w:val="1C2833"/>
                <w:sz w:val="19"/>
                <w:szCs w:val="19"/>
              </w:rPr>
              <w:t>25.3%</w:t>
            </w:r>
          </w:p>
        </w:tc>
      </w:tr>
      <w:tr w:rsidR="00527319" w14:paraId="267B7B9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07409C" w14:textId="77777777" w:rsidR="00527319" w:rsidRDefault="00000000">
            <w:pPr>
              <w:jc w:val="center"/>
            </w:pPr>
            <w:proofErr w:type="gramStart"/>
            <w:r>
              <w:rPr>
                <w:color w:val="1C2833"/>
                <w:sz w:val="19"/>
                <w:szCs w:val="19"/>
              </w:rPr>
              <w:t>High  (</w:t>
            </w:r>
            <w:proofErr w:type="gramEnd"/>
            <w:r>
              <w:rPr>
                <w:color w:val="1C2833"/>
                <w:sz w:val="19"/>
                <w:szCs w:val="19"/>
              </w:rPr>
              <w:t>OOP ≥ $3,000)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4682C0" w14:textId="77777777" w:rsidR="00527319" w:rsidRDefault="00000000">
            <w:pPr>
              <w:jc w:val="center"/>
            </w:pPr>
            <w:r>
              <w:rPr>
                <w:color w:val="1C2833"/>
                <w:sz w:val="19"/>
                <w:szCs w:val="19"/>
              </w:rPr>
              <w:t>2,751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12F71C" w14:textId="77777777" w:rsidR="00527319" w:rsidRDefault="00000000">
            <w:pPr>
              <w:jc w:val="center"/>
            </w:pPr>
            <w:r>
              <w:rPr>
                <w:color w:val="1C2833"/>
                <w:sz w:val="19"/>
                <w:szCs w:val="19"/>
              </w:rPr>
              <w:t>$6,668</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9ED4A6" w14:textId="77777777" w:rsidR="00527319" w:rsidRDefault="00000000">
            <w:pPr>
              <w:jc w:val="center"/>
            </w:pPr>
            <w:r>
              <w:rPr>
                <w:color w:val="1C2833"/>
                <w:sz w:val="19"/>
                <w:szCs w:val="19"/>
              </w:rPr>
              <w:t>91.4%</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650B83A" w14:textId="77777777" w:rsidR="00527319" w:rsidRDefault="00000000">
            <w:pPr>
              <w:jc w:val="center"/>
            </w:pPr>
            <w:r>
              <w:rPr>
                <w:color w:val="1C2833"/>
                <w:sz w:val="19"/>
                <w:szCs w:val="19"/>
              </w:rPr>
              <w:t>79.0%</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B84D54" w14:textId="77777777" w:rsidR="00527319" w:rsidRDefault="00000000">
            <w:pPr>
              <w:jc w:val="center"/>
            </w:pPr>
            <w:r>
              <w:rPr>
                <w:color w:val="1C2833"/>
                <w:sz w:val="19"/>
                <w:szCs w:val="19"/>
              </w:rPr>
              <w:t>21.0%</w:t>
            </w:r>
          </w:p>
        </w:tc>
      </w:tr>
    </w:tbl>
    <w:p w14:paraId="6A401A4D" w14:textId="77777777" w:rsidR="00527319" w:rsidRDefault="00000000">
      <w:pPr>
        <w:spacing w:after="80"/>
      </w:pPr>
      <w:r>
        <w:rPr>
          <w:i/>
          <w:iCs/>
          <w:color w:val="626567"/>
          <w:sz w:val="18"/>
          <w:szCs w:val="18"/>
        </w:rPr>
        <w:t xml:space="preserve">Source: 2014 </w:t>
      </w:r>
      <w:proofErr w:type="spellStart"/>
      <w:r>
        <w:rPr>
          <w:i/>
          <w:iCs/>
          <w:color w:val="626567"/>
          <w:sz w:val="18"/>
          <w:szCs w:val="18"/>
        </w:rPr>
        <w:t>Uni_USA</w:t>
      </w:r>
      <w:proofErr w:type="spellEnd"/>
      <w:r>
        <w:rPr>
          <w:i/>
          <w:iCs/>
          <w:color w:val="626567"/>
          <w:sz w:val="18"/>
          <w:szCs w:val="18"/>
        </w:rPr>
        <w:t xml:space="preserve"> Synthetic Claims Database. OOP = annual sum of coinsurance, deductible, and copayment. Rates are population-weighted.</w:t>
      </w:r>
    </w:p>
    <w:p w14:paraId="383DF7C1" w14:textId="77777777" w:rsidR="00527319" w:rsidRDefault="00527319">
      <w:pPr>
        <w:spacing w:after="120"/>
      </w:pPr>
    </w:p>
    <w:p w14:paraId="3C5683A6" w14:textId="77777777" w:rsidR="00527319" w:rsidRDefault="00000000">
      <w:pPr>
        <w:pStyle w:val="Heading2"/>
      </w:pPr>
      <w:r>
        <w:t>Variation by Insurance Type</w:t>
      </w:r>
    </w:p>
    <w:p w14:paraId="5E055DA8" w14:textId="77777777" w:rsidR="00527319" w:rsidRDefault="00000000">
      <w:pPr>
        <w:spacing w:after="160"/>
        <w:jc w:val="both"/>
      </w:pPr>
      <w:r>
        <w:rPr>
          <w:color w:val="1C2833"/>
        </w:rPr>
        <w:t>Exhibit 3 demonstrates substantial variation in care continuity by insurance type. Medicare FFS enrollees showed the highest follow-up rate at 73.2%, followed closely by Medicare Advantage at 72.5% — nearly 17 percentage points above Medicaid and non-group enrollees, both of which registered 56.1%. ESI enrollees fell in the middle at 59.8%, outperforming Medicaid despite both groups serving working-age populations. The strong performance of Medicare patients likely reflects several reinforcing factors: the near-universal chronic disease burden of the 65+ population, Medicare's established infrastructure for chronic disease management and care coordination, and the structural continuity of provider relationships built over decades. Medicaid's lower rates may reflect barriers to provider access, inadequate care coordination resources, and the social determinants of health — transportation, literacy, and competing life priorities — that disproportionately affect low-income enrollees.</w:t>
      </w:r>
    </w:p>
    <w:p w14:paraId="0EE6D485" w14:textId="77777777" w:rsidR="00527319" w:rsidRDefault="00000000">
      <w:pPr>
        <w:spacing w:after="160"/>
        <w:jc w:val="both"/>
      </w:pPr>
      <w:r>
        <w:rPr>
          <w:color w:val="1C2833"/>
        </w:rPr>
        <w:t>The similarity between Medicaid and non-group follow-up rates (both 56.1%) is noteworthy. Despite very different cost structures — Medicaid imposes minimal cost-sharing while non-group plans often carry high deductibles — both populations show identical attrition. This suggests that care continuity challenges in these groups are driven more by access barriers and care management gaps than by financial cost-sharing alone.</w:t>
      </w:r>
    </w:p>
    <w:p w14:paraId="4873A7AA" w14:textId="77777777" w:rsidR="00527319" w:rsidRDefault="00000000">
      <w:pPr>
        <w:spacing w:after="60"/>
      </w:pPr>
      <w:r>
        <w:rPr>
          <w:b/>
          <w:bCs/>
          <w:color w:val="1C2833"/>
          <w:sz w:val="20"/>
          <w:szCs w:val="20"/>
        </w:rPr>
        <w:t>Exhibit 3. Treatment and Follow-Up Rates by Insurance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2"/>
        <w:gridCol w:w="1456"/>
        <w:gridCol w:w="1590"/>
        <w:gridCol w:w="1590"/>
        <w:gridCol w:w="2262"/>
      </w:tblGrid>
      <w:tr w:rsidR="00527319" w14:paraId="2150ECE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17F40B30" w14:textId="77777777" w:rsidR="00527319" w:rsidRDefault="00000000">
            <w:pPr>
              <w:jc w:val="center"/>
            </w:pPr>
            <w:r>
              <w:rPr>
                <w:b/>
                <w:bCs/>
                <w:color w:val="FFFFFF"/>
                <w:sz w:val="19"/>
                <w:szCs w:val="19"/>
              </w:rPr>
              <w:t>Insurance Type</w:t>
            </w:r>
          </w:p>
        </w:tc>
        <w:tc>
          <w:tcPr>
            <w:tcW w:w="13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085DEF88" w14:textId="77777777" w:rsidR="00527319" w:rsidRDefault="00000000">
            <w:pPr>
              <w:jc w:val="center"/>
            </w:pPr>
            <w:r>
              <w:rPr>
                <w:b/>
                <w:bCs/>
                <w:color w:val="FFFFFF"/>
                <w:sz w:val="19"/>
                <w:szCs w:val="19"/>
              </w:rPr>
              <w:t>N Diagnosed</w:t>
            </w:r>
          </w:p>
        </w:tc>
        <w:tc>
          <w:tcPr>
            <w:tcW w:w="14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16BAE5A3" w14:textId="77777777" w:rsidR="00527319" w:rsidRDefault="00000000">
            <w:pPr>
              <w:jc w:val="center"/>
            </w:pPr>
            <w:r>
              <w:rPr>
                <w:b/>
                <w:bCs/>
                <w:color w:val="FFFFFF"/>
                <w:sz w:val="19"/>
                <w:szCs w:val="19"/>
              </w:rPr>
              <w:t>% Treated</w:t>
            </w:r>
          </w:p>
        </w:tc>
        <w:tc>
          <w:tcPr>
            <w:tcW w:w="14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1B085EA8" w14:textId="77777777" w:rsidR="00527319" w:rsidRDefault="00000000">
            <w:pPr>
              <w:jc w:val="center"/>
            </w:pPr>
            <w:r>
              <w:rPr>
                <w:b/>
                <w:bCs/>
                <w:color w:val="FFFFFF"/>
                <w:sz w:val="19"/>
                <w:szCs w:val="19"/>
              </w:rPr>
              <w:t>% Follow-Up</w:t>
            </w:r>
          </w:p>
        </w:tc>
        <w:tc>
          <w:tcPr>
            <w:tcW w:w="20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2B240E9A" w14:textId="77777777" w:rsidR="00527319" w:rsidRDefault="00000000">
            <w:pPr>
              <w:jc w:val="center"/>
            </w:pPr>
            <w:r>
              <w:rPr>
                <w:b/>
                <w:bCs/>
                <w:color w:val="FFFFFF"/>
                <w:sz w:val="19"/>
                <w:szCs w:val="19"/>
              </w:rPr>
              <w:t>% Drop-Off</w:t>
            </w:r>
          </w:p>
        </w:tc>
      </w:tr>
      <w:tr w:rsidR="00527319" w14:paraId="3F83C7C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9E4F23" w14:textId="77777777" w:rsidR="00527319" w:rsidRDefault="00000000">
            <w:pPr>
              <w:jc w:val="center"/>
            </w:pPr>
            <w:r>
              <w:rPr>
                <w:color w:val="1C2833"/>
                <w:sz w:val="19"/>
                <w:szCs w:val="19"/>
              </w:rPr>
              <w:t>Medicare FFS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C4EC20A" w14:textId="77777777" w:rsidR="00527319" w:rsidRDefault="00000000">
            <w:pPr>
              <w:jc w:val="center"/>
            </w:pPr>
            <w:r>
              <w:rPr>
                <w:color w:val="1C2833"/>
                <w:sz w:val="19"/>
                <w:szCs w:val="19"/>
              </w:rPr>
              <w:t>7,292</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76C8AE" w14:textId="77777777" w:rsidR="00527319" w:rsidRDefault="00000000">
            <w:pPr>
              <w:jc w:val="center"/>
            </w:pPr>
            <w:r>
              <w:rPr>
                <w:color w:val="1C2833"/>
                <w:sz w:val="19"/>
                <w:szCs w:val="19"/>
              </w:rPr>
              <w:t>89.2%</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FDAD41" w14:textId="77777777" w:rsidR="00527319" w:rsidRDefault="00000000">
            <w:pPr>
              <w:jc w:val="center"/>
            </w:pPr>
            <w:r>
              <w:rPr>
                <w:color w:val="1C2833"/>
                <w:sz w:val="19"/>
                <w:szCs w:val="19"/>
              </w:rPr>
              <w:t>73.2%</w:t>
            </w:r>
          </w:p>
        </w:tc>
        <w:tc>
          <w:tcPr>
            <w:tcW w:w="20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EC5BA0" w14:textId="77777777" w:rsidR="00527319" w:rsidRDefault="00000000">
            <w:pPr>
              <w:jc w:val="center"/>
            </w:pPr>
            <w:r>
              <w:rPr>
                <w:color w:val="1C2833"/>
                <w:sz w:val="19"/>
                <w:szCs w:val="19"/>
              </w:rPr>
              <w:t>26.8%</w:t>
            </w:r>
          </w:p>
        </w:tc>
      </w:tr>
      <w:tr w:rsidR="00527319" w14:paraId="40036A4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3D937E59" w14:textId="77777777" w:rsidR="00527319" w:rsidRDefault="00000000">
            <w:pPr>
              <w:jc w:val="center"/>
            </w:pPr>
            <w:r>
              <w:rPr>
                <w:color w:val="1C2833"/>
                <w:sz w:val="19"/>
                <w:szCs w:val="19"/>
              </w:rPr>
              <w:t>Medicare Advantage</w:t>
            </w:r>
          </w:p>
        </w:tc>
        <w:tc>
          <w:tcPr>
            <w:tcW w:w="13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5E62F57F" w14:textId="77777777" w:rsidR="00527319" w:rsidRDefault="00000000">
            <w:pPr>
              <w:jc w:val="center"/>
            </w:pPr>
            <w:r>
              <w:rPr>
                <w:color w:val="1C2833"/>
                <w:sz w:val="19"/>
                <w:szCs w:val="19"/>
              </w:rPr>
              <w:t>5,554</w:t>
            </w:r>
          </w:p>
        </w:tc>
        <w:tc>
          <w:tcPr>
            <w:tcW w:w="14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570E8D3" w14:textId="77777777" w:rsidR="00527319" w:rsidRDefault="00000000">
            <w:pPr>
              <w:jc w:val="center"/>
            </w:pPr>
            <w:r>
              <w:rPr>
                <w:color w:val="1C2833"/>
                <w:sz w:val="19"/>
                <w:szCs w:val="19"/>
              </w:rPr>
              <w:t>88.2%</w:t>
            </w:r>
          </w:p>
        </w:tc>
        <w:tc>
          <w:tcPr>
            <w:tcW w:w="14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27A09868" w14:textId="77777777" w:rsidR="00527319" w:rsidRDefault="00000000">
            <w:pPr>
              <w:jc w:val="center"/>
            </w:pPr>
            <w:r>
              <w:rPr>
                <w:color w:val="1C2833"/>
                <w:sz w:val="19"/>
                <w:szCs w:val="19"/>
              </w:rPr>
              <w:t>72.5%</w:t>
            </w:r>
          </w:p>
        </w:tc>
        <w:tc>
          <w:tcPr>
            <w:tcW w:w="20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570398A2" w14:textId="77777777" w:rsidR="00527319" w:rsidRDefault="00000000">
            <w:pPr>
              <w:jc w:val="center"/>
            </w:pPr>
            <w:r>
              <w:rPr>
                <w:color w:val="1C2833"/>
                <w:sz w:val="19"/>
                <w:szCs w:val="19"/>
              </w:rPr>
              <w:t>27.5%</w:t>
            </w:r>
          </w:p>
        </w:tc>
      </w:tr>
      <w:tr w:rsidR="00527319" w14:paraId="2E7E4FB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11D194" w14:textId="77777777" w:rsidR="00527319" w:rsidRDefault="00000000">
            <w:pPr>
              <w:jc w:val="center"/>
            </w:pPr>
            <w:r>
              <w:rPr>
                <w:color w:val="1C2833"/>
                <w:sz w:val="19"/>
                <w:szCs w:val="19"/>
              </w:rPr>
              <w:t>NONGROUP / ACA</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A21126" w14:textId="77777777" w:rsidR="00527319" w:rsidRDefault="00000000">
            <w:pPr>
              <w:jc w:val="center"/>
            </w:pPr>
            <w:r>
              <w:rPr>
                <w:color w:val="1C2833"/>
                <w:sz w:val="19"/>
                <w:szCs w:val="19"/>
              </w:rPr>
              <w:t>370</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78DEB6" w14:textId="77777777" w:rsidR="00527319" w:rsidRDefault="00000000">
            <w:pPr>
              <w:jc w:val="center"/>
            </w:pPr>
            <w:r>
              <w:rPr>
                <w:color w:val="1C2833"/>
                <w:sz w:val="19"/>
                <w:szCs w:val="19"/>
              </w:rPr>
              <w:t>85.3%</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04A1FD" w14:textId="77777777" w:rsidR="00527319" w:rsidRDefault="00000000">
            <w:pPr>
              <w:jc w:val="center"/>
            </w:pPr>
            <w:r>
              <w:rPr>
                <w:color w:val="1C2833"/>
                <w:sz w:val="19"/>
                <w:szCs w:val="19"/>
              </w:rPr>
              <w:t>56.1%</w:t>
            </w:r>
          </w:p>
        </w:tc>
        <w:tc>
          <w:tcPr>
            <w:tcW w:w="20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C757C1" w14:textId="77777777" w:rsidR="00527319" w:rsidRDefault="00000000">
            <w:pPr>
              <w:jc w:val="center"/>
            </w:pPr>
            <w:r>
              <w:rPr>
                <w:color w:val="1C2833"/>
                <w:sz w:val="19"/>
                <w:szCs w:val="19"/>
              </w:rPr>
              <w:t>43.9%</w:t>
            </w:r>
          </w:p>
        </w:tc>
      </w:tr>
      <w:tr w:rsidR="00527319" w14:paraId="1F101C8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3EC5200F" w14:textId="77777777" w:rsidR="00527319" w:rsidRDefault="00000000">
            <w:pPr>
              <w:jc w:val="center"/>
            </w:pPr>
            <w:r>
              <w:rPr>
                <w:color w:val="1C2833"/>
                <w:sz w:val="19"/>
                <w:szCs w:val="19"/>
              </w:rPr>
              <w:t>ESI (Employer-Sponsored)</w:t>
            </w:r>
          </w:p>
        </w:tc>
        <w:tc>
          <w:tcPr>
            <w:tcW w:w="13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2B6BAD9A" w14:textId="77777777" w:rsidR="00527319" w:rsidRDefault="00000000">
            <w:pPr>
              <w:jc w:val="center"/>
            </w:pPr>
            <w:r>
              <w:rPr>
                <w:color w:val="1C2833"/>
                <w:sz w:val="19"/>
                <w:szCs w:val="19"/>
              </w:rPr>
              <w:t>8,112</w:t>
            </w:r>
          </w:p>
        </w:tc>
        <w:tc>
          <w:tcPr>
            <w:tcW w:w="14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5CEFB1BA" w14:textId="77777777" w:rsidR="00527319" w:rsidRDefault="00000000">
            <w:pPr>
              <w:jc w:val="center"/>
            </w:pPr>
            <w:r>
              <w:rPr>
                <w:color w:val="1C2833"/>
                <w:sz w:val="19"/>
                <w:szCs w:val="19"/>
              </w:rPr>
              <w:t>84.6%</w:t>
            </w:r>
          </w:p>
        </w:tc>
        <w:tc>
          <w:tcPr>
            <w:tcW w:w="14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72822307" w14:textId="77777777" w:rsidR="00527319" w:rsidRDefault="00000000">
            <w:pPr>
              <w:jc w:val="center"/>
            </w:pPr>
            <w:r>
              <w:rPr>
                <w:color w:val="1C2833"/>
                <w:sz w:val="19"/>
                <w:szCs w:val="19"/>
              </w:rPr>
              <w:t>59.8%</w:t>
            </w:r>
          </w:p>
        </w:tc>
        <w:tc>
          <w:tcPr>
            <w:tcW w:w="20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0586CA6B" w14:textId="77777777" w:rsidR="00527319" w:rsidRDefault="00000000">
            <w:pPr>
              <w:jc w:val="center"/>
            </w:pPr>
            <w:r>
              <w:rPr>
                <w:color w:val="1C2833"/>
                <w:sz w:val="19"/>
                <w:szCs w:val="19"/>
              </w:rPr>
              <w:t>40.2%</w:t>
            </w:r>
          </w:p>
        </w:tc>
      </w:tr>
      <w:tr w:rsidR="00527319" w14:paraId="73594B3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24111C" w14:textId="77777777" w:rsidR="00527319" w:rsidRDefault="00000000">
            <w:pPr>
              <w:jc w:val="center"/>
            </w:pPr>
            <w:r>
              <w:rPr>
                <w:color w:val="1C2833"/>
                <w:sz w:val="19"/>
                <w:szCs w:val="19"/>
              </w:rPr>
              <w:t>Medicaid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AB12861" w14:textId="77777777" w:rsidR="00527319" w:rsidRDefault="00000000">
            <w:pPr>
              <w:jc w:val="center"/>
            </w:pPr>
            <w:r>
              <w:rPr>
                <w:color w:val="1C2833"/>
                <w:sz w:val="19"/>
                <w:szCs w:val="19"/>
              </w:rPr>
              <w:t>1,661</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66D678" w14:textId="77777777" w:rsidR="00527319" w:rsidRDefault="00000000">
            <w:pPr>
              <w:jc w:val="center"/>
            </w:pPr>
            <w:r>
              <w:rPr>
                <w:color w:val="1C2833"/>
                <w:sz w:val="19"/>
                <w:szCs w:val="19"/>
              </w:rPr>
              <w:t>80.0%</w:t>
            </w:r>
          </w:p>
        </w:tc>
        <w:tc>
          <w:tcPr>
            <w:tcW w:w="14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3EB381" w14:textId="77777777" w:rsidR="00527319" w:rsidRDefault="00000000">
            <w:pPr>
              <w:jc w:val="center"/>
            </w:pPr>
            <w:r>
              <w:rPr>
                <w:color w:val="1C2833"/>
                <w:sz w:val="19"/>
                <w:szCs w:val="19"/>
              </w:rPr>
              <w:t>56.1%</w:t>
            </w:r>
          </w:p>
        </w:tc>
        <w:tc>
          <w:tcPr>
            <w:tcW w:w="20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7923A5" w14:textId="77777777" w:rsidR="00527319" w:rsidRDefault="00000000">
            <w:pPr>
              <w:jc w:val="center"/>
            </w:pPr>
            <w:r>
              <w:rPr>
                <w:color w:val="1C2833"/>
                <w:sz w:val="19"/>
                <w:szCs w:val="19"/>
              </w:rPr>
              <w:t>43.9%</w:t>
            </w:r>
          </w:p>
        </w:tc>
      </w:tr>
    </w:tbl>
    <w:p w14:paraId="43A7EB8D" w14:textId="77777777" w:rsidR="00527319" w:rsidRDefault="00000000">
      <w:pPr>
        <w:spacing w:after="80"/>
      </w:pPr>
      <w:r>
        <w:rPr>
          <w:i/>
          <w:iCs/>
          <w:color w:val="626567"/>
          <w:sz w:val="18"/>
          <w:szCs w:val="18"/>
        </w:rPr>
        <w:t xml:space="preserve">Source: 2014 </w:t>
      </w:r>
      <w:proofErr w:type="spellStart"/>
      <w:r>
        <w:rPr>
          <w:i/>
          <w:iCs/>
          <w:color w:val="626567"/>
          <w:sz w:val="18"/>
          <w:szCs w:val="18"/>
        </w:rPr>
        <w:t>Uni_USA</w:t>
      </w:r>
      <w:proofErr w:type="spellEnd"/>
      <w:r>
        <w:rPr>
          <w:i/>
          <w:iCs/>
          <w:color w:val="626567"/>
          <w:sz w:val="18"/>
          <w:szCs w:val="18"/>
        </w:rPr>
        <w:t xml:space="preserve"> Synthetic Claims Database. Rates are population-weighted. ESI = Employer-Sponsored Insurance; FFS = Fee-for-Service.</w:t>
      </w:r>
    </w:p>
    <w:p w14:paraId="1C046740" w14:textId="77777777" w:rsidR="00527319" w:rsidRDefault="00527319">
      <w:pPr>
        <w:spacing w:after="120"/>
      </w:pPr>
    </w:p>
    <w:p w14:paraId="6FF9D2B8" w14:textId="77777777" w:rsidR="00527319" w:rsidRDefault="00000000">
      <w:pPr>
        <w:pStyle w:val="Heading2"/>
      </w:pPr>
      <w:r>
        <w:t>Age and Regional Variation</w:t>
      </w:r>
    </w:p>
    <w:p w14:paraId="5E15E031" w14:textId="77777777" w:rsidR="00527319" w:rsidRDefault="00000000">
      <w:pPr>
        <w:spacing w:after="160"/>
        <w:jc w:val="both"/>
      </w:pPr>
      <w:r>
        <w:rPr>
          <w:color w:val="1C2833"/>
        </w:rPr>
        <w:t>Exhibit 4 reveals a pronounced age gradient in care continuity. Follow-up rates increase monotonically from 35.6% among children and adolescents (00-18) to 73.0% among Medicare-age adults (65+), with young adults 19-34 showing a 56.6% drop-off rate — the second-worst of any age group. This pattern is clinically significant: T2DM in younger populations is rising rapidly, yet young adults are the most likely to disengage from care. Factors may include lack of established primary care relationships, lower perceived illness severity, and coverage instability as young adults transition between jobs and insurance plans. Children's low follow-up rates (64.4% drop-off) may reflect the involvement of pediatric providers who are less likely to code for specific diabetes management procedures.</w:t>
      </w:r>
    </w:p>
    <w:p w14:paraId="0846A1AE" w14:textId="77777777" w:rsidR="00527319" w:rsidRDefault="00000000">
      <w:pPr>
        <w:spacing w:after="160"/>
        <w:jc w:val="both"/>
      </w:pPr>
      <w:r>
        <w:rPr>
          <w:color w:val="1C2833"/>
        </w:rPr>
        <w:lastRenderedPageBreak/>
        <w:t>Regional variation is modest but consistent. The South shows the highest follow-up rate (68.1%) and lowest drop-off (31.9%), while the West shows the lowest follow-up (63.5%) and highest drop-off (36.5%). The 4.6 percentage-point range across regions is smaller than expected given well-documented regional variation in healthcare access and provider density, suggesting that insurance coverage and income — which vary more within regions than between them — may be stronger drivers of T2DM care continuity than geography alone. A supplementary comorbidity analysis (Exhibit 6) reveals a striking inverse relationship between disease burden and attrition: patients with three comorbidities show only a 21.0% drop-off, while those with zero comorbidities drop off at 44.3% — reinforcing that it is the newly diagnosed, otherwise-healthy T2DM patient who is most at risk of disengaging from care.</w:t>
      </w:r>
    </w:p>
    <w:p w14:paraId="18B53694" w14:textId="77777777" w:rsidR="00527319" w:rsidRDefault="00000000">
      <w:pPr>
        <w:spacing w:after="60"/>
      </w:pPr>
      <w:r>
        <w:rPr>
          <w:b/>
          <w:bCs/>
          <w:color w:val="1C2833"/>
          <w:sz w:val="20"/>
          <w:szCs w:val="20"/>
        </w:rPr>
        <w:t>Exhibit 4. Follow-Up Drop-Off by Age Group and Census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8"/>
        <w:gridCol w:w="1456"/>
        <w:gridCol w:w="1008"/>
        <w:gridCol w:w="1478"/>
        <w:gridCol w:w="1478"/>
        <w:gridCol w:w="2262"/>
      </w:tblGrid>
      <w:tr w:rsidR="00527319" w14:paraId="163C8F9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7AFB7F3D" w14:textId="77777777" w:rsidR="00527319" w:rsidRDefault="00000000">
            <w:pPr>
              <w:jc w:val="center"/>
            </w:pPr>
            <w:r>
              <w:rPr>
                <w:b/>
                <w:bCs/>
                <w:color w:val="FFFFFF"/>
                <w:sz w:val="19"/>
                <w:szCs w:val="19"/>
              </w:rPr>
              <w:t>Category</w:t>
            </w:r>
          </w:p>
        </w:tc>
        <w:tc>
          <w:tcPr>
            <w:tcW w:w="13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1D4D3F33" w14:textId="77777777" w:rsidR="00527319" w:rsidRDefault="00000000">
            <w:pPr>
              <w:jc w:val="center"/>
            </w:pPr>
            <w:r>
              <w:rPr>
                <w:b/>
                <w:bCs/>
                <w:color w:val="FFFFFF"/>
                <w:sz w:val="19"/>
                <w:szCs w:val="19"/>
              </w:rPr>
              <w:t>Subgroup</w:t>
            </w:r>
          </w:p>
        </w:tc>
        <w:tc>
          <w:tcPr>
            <w:tcW w:w="90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377E3AB4" w14:textId="77777777" w:rsidR="00527319" w:rsidRDefault="00000000">
            <w:pPr>
              <w:jc w:val="center"/>
            </w:pPr>
            <w:r>
              <w:rPr>
                <w:b/>
                <w:bCs/>
                <w:color w:val="FFFFFF"/>
                <w:sz w:val="19"/>
                <w:szCs w:val="19"/>
              </w:rPr>
              <w:t>N</w:t>
            </w:r>
          </w:p>
        </w:tc>
        <w:tc>
          <w:tcPr>
            <w:tcW w:w="13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009EE78E" w14:textId="77777777" w:rsidR="00527319" w:rsidRDefault="00000000">
            <w:pPr>
              <w:jc w:val="center"/>
            </w:pPr>
            <w:r>
              <w:rPr>
                <w:b/>
                <w:bCs/>
                <w:color w:val="FFFFFF"/>
                <w:sz w:val="19"/>
                <w:szCs w:val="19"/>
              </w:rPr>
              <w:t>% Treated</w:t>
            </w:r>
          </w:p>
        </w:tc>
        <w:tc>
          <w:tcPr>
            <w:tcW w:w="13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6B25F618" w14:textId="77777777" w:rsidR="00527319" w:rsidRDefault="00000000">
            <w:pPr>
              <w:jc w:val="center"/>
            </w:pPr>
            <w:r>
              <w:rPr>
                <w:b/>
                <w:bCs/>
                <w:color w:val="FFFFFF"/>
                <w:sz w:val="19"/>
                <w:szCs w:val="19"/>
              </w:rPr>
              <w:t>% Follow-Up</w:t>
            </w:r>
          </w:p>
        </w:tc>
        <w:tc>
          <w:tcPr>
            <w:tcW w:w="2020" w:type="dxa"/>
            <w:tcBorders>
              <w:top w:val="single" w:sz="4" w:space="0" w:color="AAAAAA"/>
              <w:left w:val="single" w:sz="4" w:space="0" w:color="AAAAAA"/>
              <w:bottom w:val="single" w:sz="4" w:space="0" w:color="AAAAAA"/>
              <w:right w:val="single" w:sz="4" w:space="0" w:color="AAAAAA"/>
            </w:tcBorders>
            <w:shd w:val="clear" w:color="auto" w:fill="1B4F72"/>
            <w:tcMar>
              <w:top w:w="60" w:type="dxa"/>
              <w:left w:w="100" w:type="dxa"/>
              <w:bottom w:w="60" w:type="dxa"/>
              <w:right w:w="100" w:type="dxa"/>
            </w:tcMar>
          </w:tcPr>
          <w:p w14:paraId="2A5EE9D0" w14:textId="77777777" w:rsidR="00527319" w:rsidRDefault="00000000">
            <w:pPr>
              <w:jc w:val="center"/>
            </w:pPr>
            <w:r>
              <w:rPr>
                <w:b/>
                <w:bCs/>
                <w:color w:val="FFFFFF"/>
                <w:sz w:val="19"/>
                <w:szCs w:val="19"/>
              </w:rPr>
              <w:t>% Drop-Off</w:t>
            </w:r>
          </w:p>
        </w:tc>
      </w:tr>
      <w:tr w:rsidR="00527319" w14:paraId="20141E6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C5CF164" w14:textId="77777777" w:rsidR="00527319" w:rsidRDefault="00000000">
            <w:pPr>
              <w:jc w:val="center"/>
            </w:pPr>
            <w:r>
              <w:rPr>
                <w:color w:val="1C2833"/>
                <w:sz w:val="19"/>
                <w:szCs w:val="19"/>
              </w:rPr>
              <w:t>Age Group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A54DE4" w14:textId="77777777" w:rsidR="00527319" w:rsidRDefault="00000000">
            <w:pPr>
              <w:jc w:val="center"/>
            </w:pPr>
            <w:r>
              <w:rPr>
                <w:color w:val="1C2833"/>
                <w:sz w:val="19"/>
                <w:szCs w:val="19"/>
              </w:rPr>
              <w:t>00-18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A9DF05" w14:textId="77777777" w:rsidR="00527319" w:rsidRDefault="00000000">
            <w:pPr>
              <w:jc w:val="center"/>
            </w:pPr>
            <w:r>
              <w:rPr>
                <w:color w:val="1C2833"/>
                <w:sz w:val="19"/>
                <w:szCs w:val="19"/>
              </w:rPr>
              <w:t>108</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DDAFB1" w14:textId="77777777" w:rsidR="00527319" w:rsidRDefault="00000000">
            <w:pPr>
              <w:jc w:val="center"/>
            </w:pPr>
            <w:r>
              <w:rPr>
                <w:color w:val="1C2833"/>
                <w:sz w:val="19"/>
                <w:szCs w:val="19"/>
              </w:rPr>
              <w:t>67.4%</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A9C9DB" w14:textId="77777777" w:rsidR="00527319" w:rsidRDefault="00000000">
            <w:pPr>
              <w:jc w:val="center"/>
            </w:pPr>
            <w:r>
              <w:rPr>
                <w:color w:val="1C2833"/>
                <w:sz w:val="19"/>
                <w:szCs w:val="19"/>
              </w:rPr>
              <w:t>35.6%</w:t>
            </w:r>
          </w:p>
        </w:tc>
        <w:tc>
          <w:tcPr>
            <w:tcW w:w="20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B1A503" w14:textId="77777777" w:rsidR="00527319" w:rsidRDefault="00000000">
            <w:pPr>
              <w:jc w:val="center"/>
            </w:pPr>
            <w:r>
              <w:rPr>
                <w:color w:val="1C2833"/>
                <w:sz w:val="19"/>
                <w:szCs w:val="19"/>
              </w:rPr>
              <w:t>64.4%</w:t>
            </w:r>
          </w:p>
        </w:tc>
      </w:tr>
      <w:tr w:rsidR="00527319" w14:paraId="623AA381"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3EDE7B94" w14:textId="77777777" w:rsidR="00527319" w:rsidRDefault="00000000">
            <w:pPr>
              <w:jc w:val="center"/>
            </w:pPr>
            <w:r>
              <w:rPr>
                <w:color w:val="1C2833"/>
                <w:sz w:val="19"/>
                <w:szCs w:val="19"/>
              </w:rPr>
              <w:t>Age Group</w:t>
            </w:r>
          </w:p>
        </w:tc>
        <w:tc>
          <w:tcPr>
            <w:tcW w:w="13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7837BEC5" w14:textId="77777777" w:rsidR="00527319" w:rsidRDefault="00000000">
            <w:pPr>
              <w:jc w:val="center"/>
            </w:pPr>
            <w:r>
              <w:rPr>
                <w:color w:val="1C2833"/>
                <w:sz w:val="19"/>
                <w:szCs w:val="19"/>
              </w:rPr>
              <w:t>19-34</w:t>
            </w:r>
          </w:p>
        </w:tc>
        <w:tc>
          <w:tcPr>
            <w:tcW w:w="9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0D9E7BE3" w14:textId="77777777" w:rsidR="00527319" w:rsidRDefault="00000000">
            <w:pPr>
              <w:jc w:val="center"/>
            </w:pPr>
            <w:r>
              <w:rPr>
                <w:color w:val="1C2833"/>
                <w:sz w:val="19"/>
                <w:szCs w:val="19"/>
              </w:rPr>
              <w:t>510</w:t>
            </w:r>
          </w:p>
        </w:tc>
        <w:tc>
          <w:tcPr>
            <w:tcW w:w="13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40371BC" w14:textId="77777777" w:rsidR="00527319" w:rsidRDefault="00000000">
            <w:pPr>
              <w:jc w:val="center"/>
            </w:pPr>
            <w:r>
              <w:rPr>
                <w:color w:val="1C2833"/>
                <w:sz w:val="19"/>
                <w:szCs w:val="19"/>
              </w:rPr>
              <w:t>74.0%</w:t>
            </w:r>
          </w:p>
        </w:tc>
        <w:tc>
          <w:tcPr>
            <w:tcW w:w="13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632EEA99" w14:textId="77777777" w:rsidR="00527319" w:rsidRDefault="00000000">
            <w:pPr>
              <w:jc w:val="center"/>
            </w:pPr>
            <w:r>
              <w:rPr>
                <w:color w:val="1C2833"/>
                <w:sz w:val="19"/>
                <w:szCs w:val="19"/>
              </w:rPr>
              <w:t>43.4%</w:t>
            </w:r>
          </w:p>
        </w:tc>
        <w:tc>
          <w:tcPr>
            <w:tcW w:w="20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9EADD5B" w14:textId="77777777" w:rsidR="00527319" w:rsidRDefault="00000000">
            <w:pPr>
              <w:jc w:val="center"/>
            </w:pPr>
            <w:r>
              <w:rPr>
                <w:color w:val="1C2833"/>
                <w:sz w:val="19"/>
                <w:szCs w:val="19"/>
              </w:rPr>
              <w:t>56.6%</w:t>
            </w:r>
          </w:p>
        </w:tc>
      </w:tr>
      <w:tr w:rsidR="00527319" w14:paraId="4CFB064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9F7595" w14:textId="77777777" w:rsidR="00527319" w:rsidRDefault="00000000">
            <w:pPr>
              <w:jc w:val="center"/>
            </w:pPr>
            <w:r>
              <w:rPr>
                <w:color w:val="1C2833"/>
                <w:sz w:val="19"/>
                <w:szCs w:val="19"/>
              </w:rPr>
              <w:t>Age Group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66EE0A5" w14:textId="77777777" w:rsidR="00527319" w:rsidRDefault="00000000">
            <w:pPr>
              <w:jc w:val="center"/>
            </w:pPr>
            <w:r>
              <w:rPr>
                <w:color w:val="1C2833"/>
                <w:sz w:val="19"/>
                <w:szCs w:val="19"/>
              </w:rPr>
              <w:t>35-44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ACFC2D" w14:textId="77777777" w:rsidR="00527319" w:rsidRDefault="00000000">
            <w:pPr>
              <w:jc w:val="center"/>
            </w:pPr>
            <w:r>
              <w:rPr>
                <w:color w:val="1C2833"/>
                <w:sz w:val="19"/>
                <w:szCs w:val="19"/>
              </w:rPr>
              <w:t>1,085</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55302D8" w14:textId="77777777" w:rsidR="00527319" w:rsidRDefault="00000000">
            <w:pPr>
              <w:jc w:val="center"/>
            </w:pPr>
            <w:r>
              <w:rPr>
                <w:color w:val="1C2833"/>
                <w:sz w:val="19"/>
                <w:szCs w:val="19"/>
              </w:rPr>
              <w:t>78.7%</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A0F0A8" w14:textId="77777777" w:rsidR="00527319" w:rsidRDefault="00000000">
            <w:pPr>
              <w:jc w:val="center"/>
            </w:pPr>
            <w:r>
              <w:rPr>
                <w:color w:val="1C2833"/>
                <w:sz w:val="19"/>
                <w:szCs w:val="19"/>
              </w:rPr>
              <w:t>49.3%</w:t>
            </w:r>
          </w:p>
        </w:tc>
        <w:tc>
          <w:tcPr>
            <w:tcW w:w="20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3D5537" w14:textId="77777777" w:rsidR="00527319" w:rsidRDefault="00000000">
            <w:pPr>
              <w:jc w:val="center"/>
            </w:pPr>
            <w:r>
              <w:rPr>
                <w:color w:val="1C2833"/>
                <w:sz w:val="19"/>
                <w:szCs w:val="19"/>
              </w:rPr>
              <w:t>50.7%</w:t>
            </w:r>
          </w:p>
        </w:tc>
      </w:tr>
      <w:tr w:rsidR="00527319" w14:paraId="6A69BAF1"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552DCAC2" w14:textId="77777777" w:rsidR="00527319" w:rsidRDefault="00000000">
            <w:pPr>
              <w:jc w:val="center"/>
            </w:pPr>
            <w:r>
              <w:rPr>
                <w:color w:val="1C2833"/>
                <w:sz w:val="19"/>
                <w:szCs w:val="19"/>
              </w:rPr>
              <w:t>Age Group</w:t>
            </w:r>
          </w:p>
        </w:tc>
        <w:tc>
          <w:tcPr>
            <w:tcW w:w="13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58C847F2" w14:textId="77777777" w:rsidR="00527319" w:rsidRDefault="00000000">
            <w:pPr>
              <w:jc w:val="center"/>
            </w:pPr>
            <w:r>
              <w:rPr>
                <w:color w:val="1C2833"/>
                <w:sz w:val="19"/>
                <w:szCs w:val="19"/>
              </w:rPr>
              <w:t>45-64</w:t>
            </w:r>
          </w:p>
        </w:tc>
        <w:tc>
          <w:tcPr>
            <w:tcW w:w="9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67CF618" w14:textId="77777777" w:rsidR="00527319" w:rsidRDefault="00000000">
            <w:pPr>
              <w:jc w:val="center"/>
            </w:pPr>
            <w:r>
              <w:rPr>
                <w:color w:val="1C2833"/>
                <w:sz w:val="19"/>
                <w:szCs w:val="19"/>
              </w:rPr>
              <w:t>8,440</w:t>
            </w:r>
          </w:p>
        </w:tc>
        <w:tc>
          <w:tcPr>
            <w:tcW w:w="13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52F9AEC4" w14:textId="77777777" w:rsidR="00527319" w:rsidRDefault="00000000">
            <w:pPr>
              <w:jc w:val="center"/>
            </w:pPr>
            <w:r>
              <w:rPr>
                <w:color w:val="1C2833"/>
                <w:sz w:val="19"/>
                <w:szCs w:val="19"/>
              </w:rPr>
              <w:t>85.4%</w:t>
            </w:r>
          </w:p>
        </w:tc>
        <w:tc>
          <w:tcPr>
            <w:tcW w:w="13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4FB269F2" w14:textId="77777777" w:rsidR="00527319" w:rsidRDefault="00000000">
            <w:pPr>
              <w:jc w:val="center"/>
            </w:pPr>
            <w:r>
              <w:rPr>
                <w:color w:val="1C2833"/>
                <w:sz w:val="19"/>
                <w:szCs w:val="19"/>
              </w:rPr>
              <w:t>61.8%</w:t>
            </w:r>
          </w:p>
        </w:tc>
        <w:tc>
          <w:tcPr>
            <w:tcW w:w="20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0A975377" w14:textId="77777777" w:rsidR="00527319" w:rsidRDefault="00000000">
            <w:pPr>
              <w:jc w:val="center"/>
            </w:pPr>
            <w:r>
              <w:rPr>
                <w:color w:val="1C2833"/>
                <w:sz w:val="19"/>
                <w:szCs w:val="19"/>
              </w:rPr>
              <w:t>38.2%</w:t>
            </w:r>
          </w:p>
        </w:tc>
      </w:tr>
      <w:tr w:rsidR="00527319" w14:paraId="0B249C1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35B106" w14:textId="77777777" w:rsidR="00527319" w:rsidRDefault="00000000">
            <w:pPr>
              <w:jc w:val="center"/>
            </w:pPr>
            <w:r>
              <w:rPr>
                <w:color w:val="1C2833"/>
                <w:sz w:val="19"/>
                <w:szCs w:val="19"/>
              </w:rPr>
              <w:t>Age Group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D52E97" w14:textId="77777777" w:rsidR="00527319" w:rsidRDefault="00000000">
            <w:pPr>
              <w:jc w:val="center"/>
            </w:pPr>
            <w:r>
              <w:rPr>
                <w:color w:val="1C2833"/>
                <w:sz w:val="19"/>
                <w:szCs w:val="19"/>
              </w:rPr>
              <w:t>65+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6910A0" w14:textId="77777777" w:rsidR="00527319" w:rsidRDefault="00000000">
            <w:pPr>
              <w:jc w:val="center"/>
            </w:pPr>
            <w:r>
              <w:rPr>
                <w:color w:val="1C2833"/>
                <w:sz w:val="19"/>
                <w:szCs w:val="19"/>
              </w:rPr>
              <w:t>12,846</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AFA5B0" w14:textId="77777777" w:rsidR="00527319" w:rsidRDefault="00000000">
            <w:pPr>
              <w:jc w:val="center"/>
            </w:pPr>
            <w:r>
              <w:rPr>
                <w:color w:val="1C2833"/>
                <w:sz w:val="19"/>
                <w:szCs w:val="19"/>
              </w:rPr>
              <w:t>88.9%</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74296E" w14:textId="77777777" w:rsidR="00527319" w:rsidRDefault="00000000">
            <w:pPr>
              <w:jc w:val="center"/>
            </w:pPr>
            <w:r>
              <w:rPr>
                <w:color w:val="1C2833"/>
                <w:sz w:val="19"/>
                <w:szCs w:val="19"/>
              </w:rPr>
              <w:t>73.0%</w:t>
            </w:r>
          </w:p>
        </w:tc>
        <w:tc>
          <w:tcPr>
            <w:tcW w:w="20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66284C" w14:textId="77777777" w:rsidR="00527319" w:rsidRDefault="00000000">
            <w:pPr>
              <w:jc w:val="center"/>
            </w:pPr>
            <w:r>
              <w:rPr>
                <w:color w:val="1C2833"/>
                <w:sz w:val="19"/>
                <w:szCs w:val="19"/>
              </w:rPr>
              <w:t>27.0%</w:t>
            </w:r>
          </w:p>
        </w:tc>
      </w:tr>
      <w:tr w:rsidR="00527319" w14:paraId="6795FF5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684E5D7" w14:textId="77777777" w:rsidR="00527319" w:rsidRDefault="00000000">
            <w:pPr>
              <w:jc w:val="center"/>
            </w:pPr>
            <w:r>
              <w:rPr>
                <w:color w:val="1C2833"/>
                <w:sz w:val="19"/>
                <w:szCs w:val="19"/>
              </w:rPr>
              <w:t>Region</w:t>
            </w:r>
          </w:p>
        </w:tc>
        <w:tc>
          <w:tcPr>
            <w:tcW w:w="13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03722786" w14:textId="77777777" w:rsidR="00527319" w:rsidRDefault="00000000">
            <w:pPr>
              <w:jc w:val="center"/>
            </w:pPr>
            <w:r>
              <w:rPr>
                <w:color w:val="1C2833"/>
                <w:sz w:val="19"/>
                <w:szCs w:val="19"/>
              </w:rPr>
              <w:t>SOUTH</w:t>
            </w:r>
          </w:p>
        </w:tc>
        <w:tc>
          <w:tcPr>
            <w:tcW w:w="9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4D62FEEB" w14:textId="77777777" w:rsidR="00527319" w:rsidRDefault="00000000">
            <w:pPr>
              <w:jc w:val="center"/>
            </w:pPr>
            <w:r>
              <w:rPr>
                <w:color w:val="1C2833"/>
                <w:sz w:val="19"/>
                <w:szCs w:val="19"/>
              </w:rPr>
              <w:t>9,312</w:t>
            </w:r>
          </w:p>
        </w:tc>
        <w:tc>
          <w:tcPr>
            <w:tcW w:w="13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69DA62E6" w14:textId="77777777" w:rsidR="00527319" w:rsidRDefault="00000000">
            <w:pPr>
              <w:jc w:val="center"/>
            </w:pPr>
            <w:r>
              <w:rPr>
                <w:color w:val="1C2833"/>
                <w:sz w:val="19"/>
                <w:szCs w:val="19"/>
              </w:rPr>
              <w:t>87.2%</w:t>
            </w:r>
          </w:p>
        </w:tc>
        <w:tc>
          <w:tcPr>
            <w:tcW w:w="13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7A10F01C" w14:textId="77777777" w:rsidR="00527319" w:rsidRDefault="00000000">
            <w:pPr>
              <w:jc w:val="center"/>
            </w:pPr>
            <w:r>
              <w:rPr>
                <w:color w:val="1C2833"/>
                <w:sz w:val="19"/>
                <w:szCs w:val="19"/>
              </w:rPr>
              <w:t>68.1%</w:t>
            </w:r>
          </w:p>
        </w:tc>
        <w:tc>
          <w:tcPr>
            <w:tcW w:w="20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76D86B36" w14:textId="77777777" w:rsidR="00527319" w:rsidRDefault="00000000">
            <w:pPr>
              <w:jc w:val="center"/>
            </w:pPr>
            <w:r>
              <w:rPr>
                <w:color w:val="1C2833"/>
                <w:sz w:val="19"/>
                <w:szCs w:val="19"/>
              </w:rPr>
              <w:t>31.9%</w:t>
            </w:r>
          </w:p>
        </w:tc>
      </w:tr>
      <w:tr w:rsidR="00527319" w14:paraId="0C19AAC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72594C" w14:textId="77777777" w:rsidR="00527319" w:rsidRDefault="00000000">
            <w:pPr>
              <w:jc w:val="center"/>
            </w:pPr>
            <w:r>
              <w:rPr>
                <w:color w:val="1C2833"/>
                <w:sz w:val="19"/>
                <w:szCs w:val="19"/>
              </w:rPr>
              <w:t>Region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D8692A" w14:textId="77777777" w:rsidR="00527319" w:rsidRDefault="00000000">
            <w:pPr>
              <w:jc w:val="center"/>
            </w:pPr>
            <w:r>
              <w:rPr>
                <w:color w:val="1C2833"/>
                <w:sz w:val="19"/>
                <w:szCs w:val="19"/>
              </w:rPr>
              <w:t>MIDWEST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473EB6" w14:textId="77777777" w:rsidR="00527319" w:rsidRDefault="00000000">
            <w:pPr>
              <w:jc w:val="center"/>
            </w:pPr>
            <w:r>
              <w:rPr>
                <w:color w:val="1C2833"/>
                <w:sz w:val="19"/>
                <w:szCs w:val="19"/>
              </w:rPr>
              <w:t>5,540</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3D91DF" w14:textId="77777777" w:rsidR="00527319" w:rsidRDefault="00000000">
            <w:pPr>
              <w:jc w:val="center"/>
            </w:pPr>
            <w:r>
              <w:rPr>
                <w:color w:val="1C2833"/>
                <w:sz w:val="19"/>
                <w:szCs w:val="19"/>
              </w:rPr>
              <w:t>86.4%</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121C56" w14:textId="77777777" w:rsidR="00527319" w:rsidRDefault="00000000">
            <w:pPr>
              <w:jc w:val="center"/>
            </w:pPr>
            <w:r>
              <w:rPr>
                <w:color w:val="1C2833"/>
                <w:sz w:val="19"/>
                <w:szCs w:val="19"/>
              </w:rPr>
              <w:t>67.7%</w:t>
            </w:r>
          </w:p>
        </w:tc>
        <w:tc>
          <w:tcPr>
            <w:tcW w:w="20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D5E0B1" w14:textId="77777777" w:rsidR="00527319" w:rsidRDefault="00000000">
            <w:pPr>
              <w:jc w:val="center"/>
            </w:pPr>
            <w:r>
              <w:rPr>
                <w:color w:val="1C2833"/>
                <w:sz w:val="19"/>
                <w:szCs w:val="19"/>
              </w:rPr>
              <w:t>32.3%</w:t>
            </w:r>
          </w:p>
        </w:tc>
      </w:tr>
      <w:tr w:rsidR="00527319" w14:paraId="0FE76926"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4FB9BB9B" w14:textId="77777777" w:rsidR="00527319" w:rsidRDefault="00000000">
            <w:pPr>
              <w:jc w:val="center"/>
            </w:pPr>
            <w:r>
              <w:rPr>
                <w:color w:val="1C2833"/>
                <w:sz w:val="19"/>
                <w:szCs w:val="19"/>
              </w:rPr>
              <w:t>Region</w:t>
            </w:r>
          </w:p>
        </w:tc>
        <w:tc>
          <w:tcPr>
            <w:tcW w:w="13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235F1A4D" w14:textId="77777777" w:rsidR="00527319" w:rsidRDefault="00000000">
            <w:pPr>
              <w:jc w:val="center"/>
            </w:pPr>
            <w:r>
              <w:rPr>
                <w:color w:val="1C2833"/>
                <w:sz w:val="19"/>
                <w:szCs w:val="19"/>
              </w:rPr>
              <w:t>NOREAST</w:t>
            </w:r>
          </w:p>
        </w:tc>
        <w:tc>
          <w:tcPr>
            <w:tcW w:w="9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280D285" w14:textId="77777777" w:rsidR="00527319" w:rsidRDefault="00000000">
            <w:pPr>
              <w:jc w:val="center"/>
            </w:pPr>
            <w:r>
              <w:rPr>
                <w:color w:val="1C2833"/>
                <w:sz w:val="19"/>
                <w:szCs w:val="19"/>
              </w:rPr>
              <w:t>4,321</w:t>
            </w:r>
          </w:p>
        </w:tc>
        <w:tc>
          <w:tcPr>
            <w:tcW w:w="13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7318E3EC" w14:textId="77777777" w:rsidR="00527319" w:rsidRDefault="00000000">
            <w:pPr>
              <w:jc w:val="center"/>
            </w:pPr>
            <w:r>
              <w:rPr>
                <w:color w:val="1C2833"/>
                <w:sz w:val="19"/>
                <w:szCs w:val="19"/>
              </w:rPr>
              <w:t>86.4%</w:t>
            </w:r>
          </w:p>
        </w:tc>
        <w:tc>
          <w:tcPr>
            <w:tcW w:w="13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1CECCA00" w14:textId="77777777" w:rsidR="00527319" w:rsidRDefault="00000000">
            <w:pPr>
              <w:jc w:val="center"/>
            </w:pPr>
            <w:r>
              <w:rPr>
                <w:color w:val="1C2833"/>
                <w:sz w:val="19"/>
                <w:szCs w:val="19"/>
              </w:rPr>
              <w:t>66.4%</w:t>
            </w:r>
          </w:p>
        </w:tc>
        <w:tc>
          <w:tcPr>
            <w:tcW w:w="202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tcPr>
          <w:p w14:paraId="430E1FD1" w14:textId="77777777" w:rsidR="00527319" w:rsidRDefault="00000000">
            <w:pPr>
              <w:jc w:val="center"/>
            </w:pPr>
            <w:r>
              <w:rPr>
                <w:color w:val="1C2833"/>
                <w:sz w:val="19"/>
                <w:szCs w:val="19"/>
              </w:rPr>
              <w:t>33.6%</w:t>
            </w:r>
          </w:p>
        </w:tc>
      </w:tr>
      <w:tr w:rsidR="00527319" w14:paraId="5B83164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B99093" w14:textId="77777777" w:rsidR="00527319" w:rsidRDefault="00000000">
            <w:pPr>
              <w:jc w:val="center"/>
            </w:pPr>
            <w:r>
              <w:rPr>
                <w:color w:val="1C2833"/>
                <w:sz w:val="19"/>
                <w:szCs w:val="19"/>
              </w:rPr>
              <w:t>Region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EC32F7" w14:textId="77777777" w:rsidR="00527319" w:rsidRDefault="00000000">
            <w:pPr>
              <w:jc w:val="center"/>
            </w:pPr>
            <w:r>
              <w:rPr>
                <w:color w:val="1C2833"/>
                <w:sz w:val="19"/>
                <w:szCs w:val="19"/>
              </w:rPr>
              <w:t>WEST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6C0638" w14:textId="77777777" w:rsidR="00527319" w:rsidRDefault="00000000">
            <w:pPr>
              <w:jc w:val="center"/>
            </w:pPr>
            <w:r>
              <w:rPr>
                <w:color w:val="1C2833"/>
                <w:sz w:val="19"/>
                <w:szCs w:val="19"/>
              </w:rPr>
              <w:t>3,816</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378009" w14:textId="77777777" w:rsidR="00527319" w:rsidRDefault="00000000">
            <w:pPr>
              <w:jc w:val="center"/>
            </w:pPr>
            <w:r>
              <w:rPr>
                <w:color w:val="1C2833"/>
                <w:sz w:val="19"/>
                <w:szCs w:val="19"/>
              </w:rPr>
              <w:t>86.0%</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37D679" w14:textId="77777777" w:rsidR="00527319" w:rsidRDefault="00000000">
            <w:pPr>
              <w:jc w:val="center"/>
            </w:pPr>
            <w:r>
              <w:rPr>
                <w:color w:val="1C2833"/>
                <w:sz w:val="19"/>
                <w:szCs w:val="19"/>
              </w:rPr>
              <w:t>63.5%</w:t>
            </w:r>
          </w:p>
        </w:tc>
        <w:tc>
          <w:tcPr>
            <w:tcW w:w="20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2BCDCD" w14:textId="77777777" w:rsidR="00527319" w:rsidRDefault="00000000">
            <w:pPr>
              <w:jc w:val="center"/>
            </w:pPr>
            <w:r>
              <w:rPr>
                <w:color w:val="1C2833"/>
                <w:sz w:val="19"/>
                <w:szCs w:val="19"/>
              </w:rPr>
              <w:t>36.5%</w:t>
            </w:r>
          </w:p>
        </w:tc>
      </w:tr>
    </w:tbl>
    <w:p w14:paraId="4EF97AED" w14:textId="77777777" w:rsidR="00527319" w:rsidRDefault="00000000">
      <w:pPr>
        <w:spacing w:after="80"/>
      </w:pPr>
      <w:r>
        <w:rPr>
          <w:i/>
          <w:iCs/>
          <w:color w:val="626567"/>
          <w:sz w:val="18"/>
          <w:szCs w:val="18"/>
        </w:rPr>
        <w:t xml:space="preserve">Source: 2014 </w:t>
      </w:r>
      <w:proofErr w:type="spellStart"/>
      <w:r>
        <w:rPr>
          <w:i/>
          <w:iCs/>
          <w:color w:val="626567"/>
          <w:sz w:val="18"/>
          <w:szCs w:val="18"/>
        </w:rPr>
        <w:t>Uni_USA</w:t>
      </w:r>
      <w:proofErr w:type="spellEnd"/>
      <w:r>
        <w:rPr>
          <w:i/>
          <w:iCs/>
          <w:color w:val="626567"/>
          <w:sz w:val="18"/>
          <w:szCs w:val="18"/>
        </w:rPr>
        <w:t xml:space="preserve"> Synthetic Claims Database. Rates are population-weighted. Region abbreviations: NOREAST = Northeast.</w:t>
      </w:r>
    </w:p>
    <w:p w14:paraId="53EDC298" w14:textId="77777777" w:rsidR="00527319" w:rsidRDefault="00527319">
      <w:pPr>
        <w:spacing w:after="120"/>
      </w:pPr>
    </w:p>
    <w:p w14:paraId="634F1BA8" w14:textId="77777777" w:rsidR="00527319" w:rsidRDefault="00000000">
      <w:pPr>
        <w:pStyle w:val="Heading1"/>
      </w:pPr>
      <w:r>
        <w:t>Discussion and Policy Implications</w:t>
      </w:r>
    </w:p>
    <w:p w14:paraId="6CE4DF16" w14:textId="77777777" w:rsidR="00527319" w:rsidRDefault="00000000">
      <w:pPr>
        <w:spacing w:after="160"/>
        <w:jc w:val="both"/>
      </w:pPr>
      <w:r>
        <w:rPr>
          <w:color w:val="1C2833"/>
        </w:rPr>
        <w:t>This analysis yields four substantive findings with direct policy relevance. First, a 33.1% cumulative drop-off in T2DM care — representing approximately 7,567 patients in this sample alone — indicates that care continuity remains a significant challenge even in a population with documented insurance coverage. Failure to complete follow-up care is associated with poorer glycemic control, higher complication rates, and ultimately higher costs to both patients and payers.</w:t>
      </w:r>
    </w:p>
    <w:p w14:paraId="234F2DC7" w14:textId="77777777" w:rsidR="00527319" w:rsidRDefault="00000000">
      <w:pPr>
        <w:spacing w:after="160"/>
        <w:jc w:val="both"/>
      </w:pPr>
      <w:r>
        <w:rPr>
          <w:color w:val="1C2833"/>
        </w:rPr>
        <w:t>Second, the counter-intuitive finding that higher OOP costs correlate with better follow-up — while income shows the expected negative gradient — has important implications for benefit design. High-deductible health plans may penalize low-income patients who face the same OOP amounts but lack the financial cushion to absorb them. Benefit designers should consider income-sensitive cost-sharing structures, particularly for chronic disease management services where regular follow-up is clinically essential.</w:t>
      </w:r>
    </w:p>
    <w:p w14:paraId="2F9BFC97" w14:textId="77777777" w:rsidR="00527319" w:rsidRDefault="00000000">
      <w:pPr>
        <w:spacing w:after="160"/>
        <w:jc w:val="both"/>
      </w:pPr>
      <w:r>
        <w:rPr>
          <w:color w:val="1C2833"/>
        </w:rPr>
        <w:t>Third, the 17 percentage-point gap between Medicare and Medicaid follow-up rates points to the importance of care management infrastructure. Medicare's chronic care management programs, care coordination payments, and annual wellness visits create structural incentives for continuous engagement that Medicaid programs largely lack. Expanding such programs within Medicaid — particularly care management for T2DM — represents a direct intervention point. States operating Medicaid managed care programs are well-positioned to implement targeted outreach for T2DM enrollees who miss follow-up visits.</w:t>
      </w:r>
    </w:p>
    <w:p w14:paraId="0E3609C5" w14:textId="77777777" w:rsidR="00527319" w:rsidRDefault="00000000">
      <w:pPr>
        <w:spacing w:after="160"/>
        <w:jc w:val="both"/>
      </w:pPr>
      <w:r>
        <w:rPr>
          <w:color w:val="1C2833"/>
        </w:rPr>
        <w:t xml:space="preserve">Fourth, the finding that young adults (19-34) and children have the highest drop-off rates calls for age-specific outreach strategies. For young adults, mobile health interventions, telehealth follow-up, and navigator programs that help patients maintain coverage continuity through job transitions may be especially effective. The steep age </w:t>
      </w:r>
      <w:r>
        <w:rPr>
          <w:color w:val="1C2833"/>
        </w:rPr>
        <w:lastRenderedPageBreak/>
        <w:t>gradient — from 64.4% drop-off in children to 27.0% in adults 65+ — underscores the importance of establishing care relationships early in the disease course, before patients disengage.</w:t>
      </w:r>
    </w:p>
    <w:p w14:paraId="4A218709" w14:textId="77777777" w:rsidR="00527319" w:rsidRDefault="00000000">
      <w:pPr>
        <w:pStyle w:val="Heading1"/>
      </w:pPr>
      <w:r>
        <w:t>Limitations</w:t>
      </w:r>
    </w:p>
    <w:p w14:paraId="03462E27" w14:textId="77777777" w:rsidR="00527319" w:rsidRDefault="00000000">
      <w:pPr>
        <w:spacing w:after="160"/>
        <w:jc w:val="both"/>
      </w:pPr>
      <w:r>
        <w:rPr>
          <w:color w:val="1C2833"/>
        </w:rPr>
        <w:t>This analysis has several important limitations. First, it uses synthetic claims data that approximates but does not exactly replicate real-world utilization patterns; findings should be interpreted as methodologically illustrative rather than as definitive population estimates. Second, the CPT-based treatment definition may undercount care for patients managed primarily through non-coded interactions or settings not captured in this file. Third, the 30-day and 90-day gap thresholds for treatment and follow-up are analyst-defined; different thresholds would yield different conversion rates. Fourth, the analysis is descriptive and does not account for confounding — observed differences across groups likely reflect both access barriers and underlying differences in disease severity and patient characteristics. Fifth, the income findings (Exhibit 5) and comorbidity findings (Exhibit 6) are presented as supplementary analysis and were not pre-specified hypotheses, warranting cautious interpretation.</w:t>
      </w:r>
    </w:p>
    <w:p w14:paraId="36654564" w14:textId="77777777" w:rsidR="00527319" w:rsidRDefault="00000000">
      <w:pPr>
        <w:pStyle w:val="Heading1"/>
      </w:pPr>
      <w:r>
        <w:t>References</w:t>
      </w:r>
    </w:p>
    <w:p w14:paraId="6623E226" w14:textId="77777777" w:rsidR="00527319" w:rsidRDefault="00000000">
      <w:pPr>
        <w:spacing w:after="160"/>
        <w:jc w:val="both"/>
      </w:pPr>
      <w:r>
        <w:rPr>
          <w:color w:val="1C2833"/>
        </w:rPr>
        <w:t>1. Centers for Disease Control and Prevention. National Diabetes Statistics Report, 2022. Atlanta, GA: CDC; 2022.</w:t>
      </w:r>
    </w:p>
    <w:p w14:paraId="09A7ADF7" w14:textId="77777777" w:rsidR="00527319" w:rsidRDefault="00000000">
      <w:pPr>
        <w:spacing w:after="160"/>
        <w:jc w:val="both"/>
      </w:pPr>
      <w:r>
        <w:rPr>
          <w:color w:val="1C2833"/>
        </w:rPr>
        <w:t>2. American Diabetes Association. Standards of Medical Care in Diabetes—2023. Diabetes Care. 2023;46(Suppl 1</w:t>
      </w:r>
      <w:proofErr w:type="gramStart"/>
      <w:r>
        <w:rPr>
          <w:color w:val="1C2833"/>
        </w:rPr>
        <w:t>):S</w:t>
      </w:r>
      <w:proofErr w:type="gramEnd"/>
      <w:r>
        <w:rPr>
          <w:color w:val="1C2833"/>
        </w:rPr>
        <w:t>1-S291.</w:t>
      </w:r>
    </w:p>
    <w:p w14:paraId="00C98E43" w14:textId="77777777" w:rsidR="00527319" w:rsidRDefault="00000000">
      <w:pPr>
        <w:spacing w:after="160"/>
        <w:jc w:val="both"/>
      </w:pPr>
      <w:r>
        <w:rPr>
          <w:color w:val="1C2833"/>
        </w:rPr>
        <w:t>3. Parente ST. MILI 6963 Healthcare Analytics Course Materials. University of Minnesota, Carlson School of Management; 2024.</w:t>
      </w:r>
    </w:p>
    <w:p w14:paraId="4F63564A" w14:textId="77777777" w:rsidR="00527319" w:rsidRDefault="00000000">
      <w:pPr>
        <w:spacing w:after="160"/>
        <w:jc w:val="both"/>
      </w:pPr>
      <w:r>
        <w:rPr>
          <w:color w:val="1C2833"/>
        </w:rPr>
        <w:t>4. Wharam JF, Zhang F, Eggleston EM, et al. Diabetes outpatient care and acute complications before and after high-deductible insurance enrollment. JAMA Intern Med. 2017;177(3):358-368.</w:t>
      </w:r>
    </w:p>
    <w:p w14:paraId="30F22655" w14:textId="77777777" w:rsidR="00527319" w:rsidRDefault="00000000">
      <w:pPr>
        <w:spacing w:after="160"/>
        <w:jc w:val="both"/>
      </w:pPr>
      <w:r>
        <w:rPr>
          <w:color w:val="1C2833"/>
        </w:rPr>
        <w:t>5. Casagrande SS, Fradkin JE, Saydah SH, et al. The prevalence of meeting A1C, blood pressure, and LDL goals among people with diabetes. Diabetes Care. 2013;36(8):2271-2279.</w:t>
      </w:r>
    </w:p>
    <w:p w14:paraId="54B55AD4" w14:textId="77777777" w:rsidR="00527319" w:rsidRDefault="00000000">
      <w:pPr>
        <w:spacing w:after="160"/>
        <w:jc w:val="both"/>
      </w:pPr>
      <w:r>
        <w:rPr>
          <w:color w:val="1C2833"/>
        </w:rPr>
        <w:t xml:space="preserve">6. Duru OK, </w:t>
      </w:r>
      <w:proofErr w:type="spellStart"/>
      <w:r>
        <w:rPr>
          <w:color w:val="1C2833"/>
        </w:rPr>
        <w:t>Gerzoff</w:t>
      </w:r>
      <w:proofErr w:type="spellEnd"/>
      <w:r>
        <w:rPr>
          <w:color w:val="1C2833"/>
        </w:rPr>
        <w:t xml:space="preserve"> RB, Selby JV, et al. Identifying diabetes care management in physician organizations. Am J Manag Care. 2010;16(8):597-604.</w:t>
      </w:r>
    </w:p>
    <w:sectPr w:rsidR="00527319">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91D90" w14:textId="77777777" w:rsidR="004721C9" w:rsidRDefault="004721C9">
      <w:r>
        <w:separator/>
      </w:r>
    </w:p>
  </w:endnote>
  <w:endnote w:type="continuationSeparator" w:id="0">
    <w:p w14:paraId="418D49C5" w14:textId="77777777" w:rsidR="004721C9" w:rsidRDefault="00472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441D" w14:textId="77777777" w:rsidR="004721C9" w:rsidRDefault="004721C9">
      <w:r>
        <w:separator/>
      </w:r>
    </w:p>
  </w:footnote>
  <w:footnote w:type="continuationSeparator" w:id="0">
    <w:p w14:paraId="4A2BC29A" w14:textId="77777777" w:rsidR="004721C9" w:rsidRDefault="00472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5DA4" w14:textId="77777777" w:rsidR="00527319" w:rsidRDefault="00000000">
    <w:pPr>
      <w:jc w:val="right"/>
    </w:pPr>
    <w:r>
      <w:rPr>
        <w:color w:val="626567"/>
        <w:sz w:val="16"/>
        <w:szCs w:val="16"/>
      </w:rPr>
      <w:t xml:space="preserve">HEALTH AFFAIRS DATA </w:t>
    </w:r>
    <w:proofErr w:type="gramStart"/>
    <w:r>
      <w:rPr>
        <w:color w:val="626567"/>
        <w:sz w:val="16"/>
        <w:szCs w:val="16"/>
      </w:rPr>
      <w:t>WATCH  |</w:t>
    </w:r>
    <w:proofErr w:type="gramEnd"/>
    <w:r>
      <w:rPr>
        <w:color w:val="626567"/>
        <w:sz w:val="16"/>
        <w:szCs w:val="16"/>
      </w:rPr>
      <w:t xml:space="preserve">  MILI 6963 Healthcare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E4ED9"/>
    <w:multiLevelType w:val="hybridMultilevel"/>
    <w:tmpl w:val="4120E218"/>
    <w:lvl w:ilvl="0" w:tplc="4886A8A8">
      <w:start w:val="1"/>
      <w:numFmt w:val="bullet"/>
      <w:lvlText w:val="●"/>
      <w:lvlJc w:val="left"/>
      <w:pPr>
        <w:ind w:left="720" w:hanging="360"/>
      </w:pPr>
    </w:lvl>
    <w:lvl w:ilvl="1" w:tplc="BE461BA2">
      <w:start w:val="1"/>
      <w:numFmt w:val="bullet"/>
      <w:lvlText w:val="○"/>
      <w:lvlJc w:val="left"/>
      <w:pPr>
        <w:ind w:left="1440" w:hanging="360"/>
      </w:pPr>
    </w:lvl>
    <w:lvl w:ilvl="2" w:tplc="97CE5638">
      <w:start w:val="1"/>
      <w:numFmt w:val="bullet"/>
      <w:lvlText w:val="■"/>
      <w:lvlJc w:val="left"/>
      <w:pPr>
        <w:ind w:left="2160" w:hanging="360"/>
      </w:pPr>
    </w:lvl>
    <w:lvl w:ilvl="3" w:tplc="250A594C">
      <w:start w:val="1"/>
      <w:numFmt w:val="bullet"/>
      <w:lvlText w:val="●"/>
      <w:lvlJc w:val="left"/>
      <w:pPr>
        <w:ind w:left="2880" w:hanging="360"/>
      </w:pPr>
    </w:lvl>
    <w:lvl w:ilvl="4" w:tplc="37005EBE">
      <w:start w:val="1"/>
      <w:numFmt w:val="bullet"/>
      <w:lvlText w:val="○"/>
      <w:lvlJc w:val="left"/>
      <w:pPr>
        <w:ind w:left="3600" w:hanging="360"/>
      </w:pPr>
    </w:lvl>
    <w:lvl w:ilvl="5" w:tplc="1486D582">
      <w:start w:val="1"/>
      <w:numFmt w:val="bullet"/>
      <w:lvlText w:val="■"/>
      <w:lvlJc w:val="left"/>
      <w:pPr>
        <w:ind w:left="4320" w:hanging="360"/>
      </w:pPr>
    </w:lvl>
    <w:lvl w:ilvl="6" w:tplc="6DFCD508">
      <w:start w:val="1"/>
      <w:numFmt w:val="bullet"/>
      <w:lvlText w:val="●"/>
      <w:lvlJc w:val="left"/>
      <w:pPr>
        <w:ind w:left="5040" w:hanging="360"/>
      </w:pPr>
    </w:lvl>
    <w:lvl w:ilvl="7" w:tplc="1FBCC43E">
      <w:start w:val="1"/>
      <w:numFmt w:val="bullet"/>
      <w:lvlText w:val="●"/>
      <w:lvlJc w:val="left"/>
      <w:pPr>
        <w:ind w:left="5760" w:hanging="360"/>
      </w:pPr>
    </w:lvl>
    <w:lvl w:ilvl="8" w:tplc="36D61BDC">
      <w:start w:val="1"/>
      <w:numFmt w:val="bullet"/>
      <w:lvlText w:val="●"/>
      <w:lvlJc w:val="left"/>
      <w:pPr>
        <w:ind w:left="6480" w:hanging="360"/>
      </w:pPr>
    </w:lvl>
  </w:abstractNum>
  <w:num w:numId="1" w16cid:durableId="296574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319"/>
    <w:rsid w:val="004721C9"/>
    <w:rsid w:val="00526AAF"/>
    <w:rsid w:val="00527319"/>
    <w:rsid w:val="00D75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38DE"/>
  <w15:docId w15:val="{1EF29CBC-E209-496F-8D39-FBF8C04EF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rFonts w:ascii="Cambria" w:eastAsia="Cambria" w:hAnsi="Cambria" w:cs="Cambria"/>
      <w:b/>
      <w:bCs/>
      <w:color w:val="1B4F72"/>
      <w:sz w:val="26"/>
      <w:szCs w:val="26"/>
    </w:rPr>
  </w:style>
  <w:style w:type="paragraph" w:styleId="Heading2">
    <w:name w:val="heading 2"/>
    <w:uiPriority w:val="9"/>
    <w:unhideWhenUsed/>
    <w:qFormat/>
    <w:pPr>
      <w:spacing w:before="200" w:after="60"/>
      <w:outlineLvl w:val="1"/>
    </w:pPr>
    <w:rPr>
      <w:rFonts w:ascii="Cambria" w:eastAsia="Cambria" w:hAnsi="Cambria" w:cs="Cambria"/>
      <w:b/>
      <w:bCs/>
      <w:color w:val="1B4F72"/>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2373</Words>
  <Characters>13530</Characters>
  <Application>Microsoft Office Word</Application>
  <DocSecurity>0</DocSecurity>
  <Lines>112</Lines>
  <Paragraphs>31</Paragraphs>
  <ScaleCrop>false</ScaleCrop>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Dhairya Lunia</cp:lastModifiedBy>
  <cp:revision>2</cp:revision>
  <dcterms:created xsi:type="dcterms:W3CDTF">2026-05-04T23:53:00Z</dcterms:created>
  <dcterms:modified xsi:type="dcterms:W3CDTF">2026-05-05T00:02:00Z</dcterms:modified>
</cp:coreProperties>
</file>