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PRICING CONFIGURATION — BidGenius Mode 3</w:t>
      </w:r>
    </w:p>
    <w:p>
      <w:pPr>
        <w:spacing w:after="3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Update this document when rates change. The agent reads this file to populate all cost tables in proposals.</w:t>
      </w:r>
    </w:p>
    <w:p>
      <w:pPr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1 — Blended Hourly Rates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C55A11"/>
          <w:sz w:val="20"/>
          <w:szCs w:val="20"/>
        </w:rPr>
        <w:t xml:space="preserve">⚠️  Update the rate here. All proposal cost tables will reflect this rate.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Region / Engagement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Blended Rate (USD/hr)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Standard (default — all regions)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$175/hr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 this unless client specifies region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North America premium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$195/hr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 for US/Canada enterprise clients if negotiated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Europe standard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$170/hr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UK, Germany, France, Nordics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Middle East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$180/hr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GCC countries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APAC standard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$160/hr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India, Southeast Asia, Australia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Nearshore only (no on-site)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$130/hr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India/Poland nearshore delivery only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2 — Payment Milestone Structure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This structure is non-negotiable unless approved by Delivery Head.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0"/>
        <w:gridCol w:w="2500"/>
        <w:gridCol w:w="35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Kick-Off Payment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 kick-off meeting completed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Invoice raised on day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Mid-Project Payment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UAT sign-off by client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Client must sign UAT acceptance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Final Payment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Go-live completed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Includes 8-week hypercare period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3 — What Is Included (Standard)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consultant fees at blended rate above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SAP Activate methodology and project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Industry template configuration (no additional charge)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 migration planning and execution (3 dress rehearsals)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System Integration Testing (SIT) — 2 full cycles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Acceptance Testing (UAT)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End-user training (train-the-trainer model)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 weeks post-go-live hypercare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Weekly status reports and monthly steering committee</w:t>
      </w:r>
    </w:p>
    <w:p>
      <w:pPr>
        <w:spacing w:after="60" w:before="60"/>
      </w:pPr>
      <w:r>
        <w:t xml:space="preserve"/>
      </w:r>
    </w:p>
    <w:p>
      <w:pPr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4 — What Is Excluded (Client Responsibility)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SAP software licences and annual maintenance fees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Cloud infrastructure / hosting (AWS, Azure, GCP)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Third-party software licences (e.g. Vertex for tax, OpenText for archiving)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Client hardware (servers, laptops, network)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Travel and expenses (billed at cost, pre-approved)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Any scope added after SOW signature (subject to change request process)</w:t>
      </w:r>
    </w:p>
    <w:p>
      <w:pPr>
        <w:spacing w:after="60" w:before="60"/>
      </w:pPr>
      <w:r>
        <w:t xml:space="preserve"/>
      </w:r>
    </w:p>
    <w:p>
      <w:pPr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5 — Discount Authority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Discount Level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Discount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Approval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Standard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 to 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Account Manager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Commercial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5% – 12%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Delivery Head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Strategic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12% – 20%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CEO sign-off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&gt;20%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permitted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exceptions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2026-05-11T10:30:33.131Z</dcterms:created>
  <dcterms:modified xsi:type="dcterms:W3CDTF">2026-05-11T10:30:33.131Z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