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</w:pPr>
      <w:r>
        <w:rPr>
          <w:b/>
          <w:bCs/>
          <w:color w:val="1F3864"/>
          <w:sz w:val="32"/>
          <w:szCs w:val="32"/>
        </w:rPr>
        <w:t xml:space="preserve">OpsIQ — RFP Response &amp; Proposal Knowledge Base</w:t>
      </w:r>
    </w:p>
    <w:p>
      <w:pPr>
        <w:spacing w:after="120"/>
      </w:pPr>
      <w:r>
        <w:rPr>
          <w:sz w:val="22"/>
          <w:szCs w:val="22"/>
        </w:rPr>
        <w:t xml:space="preserve">This document enables OpsIQ to analyse incoming RFPs, match them to past projects, estimate effort, and generate winning proposal drafts automatically.</w:t>
      </w:r>
    </w:p>
    <w:p>
      <w:pPr>
        <w:pStyle w:val="Heading2"/>
        <w:spacing w:after="120" w:before="160"/>
      </w:pPr>
      <w:r>
        <w:rPr>
          <w:b/>
          <w:bCs/>
          <w:color w:val="2E5FA3"/>
          <w:sz w:val="26"/>
          <w:szCs w:val="26"/>
        </w:rPr>
        <w:t xml:space="preserve">SECTION 1: Past Project Case Studies (Reference Library)</w:t>
      </w:r>
    </w:p>
    <w:p>
      <w:pPr>
        <w:pStyle w:val="Heading3"/>
        <w:spacing w:after="100" w:before="140"/>
      </w:pPr>
      <w:r>
        <w:rPr>
          <w:b/>
          <w:bCs/>
          <w:color w:val="C55A11"/>
          <w:sz w:val="22"/>
          <w:szCs w:val="22"/>
        </w:rPr>
        <w:t xml:space="preserve">Case Study 1 — Manufacturing SAP S/4HANA 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Industry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Heavy Manufacturing — Automotive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S/4HANA 2023 — Full Suite: FICO, MM, PP, QM, PM, 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consultants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Budget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$400,000 – $600,000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Challenge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Legacy ECC migration with 15 years of custom code — 340 custom objects assessed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Our 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RISE with SAP methodology. Custom code remediation in parallel with configuration. Phased go-live by module.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Went live on time. 98% custom objects retained or replaced. Client reported 40% reduction in month-end close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Satisfaction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9.2/10 — client renewed for 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Relevant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manufacturing RFP requiring full S/4HANA transformation</w:t>
            </w:r>
          </w:p>
        </w:tc>
      </w:tr>
    </w:tbl>
    <w:p>
      <w:pPr>
        <w:spacing w:after="160"/>
      </w:pPr>
    </w:p>
    <w:p>
      <w:pPr>
        <w:pStyle w:val="Heading3"/>
        <w:spacing w:after="100" w:before="140"/>
      </w:pPr>
      <w:r>
        <w:rPr>
          <w:b/>
          <w:bCs/>
          <w:color w:val="C55A11"/>
          <w:sz w:val="22"/>
          <w:szCs w:val="22"/>
        </w:rPr>
        <w:t xml:space="preserve">Case Study 2 — Retail SAP Ariba Procurement 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Industry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Retail Chain — 400+ stores across Europe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Ariba Sourcing, Buying, Contracts, Supplier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consultants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Budget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$280,000 – $380,000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Challenge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Onboarding 1,200 suppliers onto Ariba Network within 6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Our 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Wave-based supplier onboarding. Dedicated supplier enablement team. Custom training portal.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1,180 of 1,200 suppliers live within 5 months. Procurement cycle time reduced by 35%.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Satisfaction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8.8/10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Relevant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retail or procurement-focused RFP involving Ariba</w:t>
            </w:r>
          </w:p>
        </w:tc>
      </w:tr>
    </w:tbl>
    <w:p>
      <w:pPr>
        <w:spacing w:after="160"/>
      </w:pPr>
    </w:p>
    <w:p>
      <w:pPr>
        <w:pStyle w:val="Heading3"/>
        <w:spacing w:after="100" w:before="140"/>
      </w:pPr>
      <w:r>
        <w:rPr>
          <w:b/>
          <w:bCs/>
          <w:color w:val="C55A11"/>
          <w:sz w:val="22"/>
          <w:szCs w:val="22"/>
        </w:rPr>
        <w:t xml:space="preserve">Case Study 3 — Healthcare SAP SuccessFactors HCM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Industry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Healthcare — 8,000 employee hospital 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SuccessFactors Employee Central, Onboarding, Learning, Performance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consultants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Budget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$350,000 – $450,000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Challenge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GDPR compliance for EU employee data + complex shift-based payroll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Our 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Privacy Impact Assessment completed in week 1. Country-specific payroll localisation for 6 countries.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GDPR compliant at go-live. HR admin time reduced by 30%. Employee self-service adoption 87%.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Satisfaction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9.0/10 — referenced us in industry conference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Relevant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healthcare or HR transformation RFP</w:t>
            </w:r>
          </w:p>
        </w:tc>
      </w:tr>
    </w:tbl>
    <w:p>
      <w:pPr>
        <w:pStyle w:val="Heading2"/>
        <w:spacing w:after="120" w:before="160"/>
      </w:pPr>
      <w:r>
        <w:rPr>
          <w:b/>
          <w:bCs/>
          <w:color w:val="2E5FA3"/>
          <w:sz w:val="26"/>
          <w:szCs w:val="26"/>
        </w:rPr>
        <w:t xml:space="preserve">SECTION 2: Effort Estimation Guide</w:t>
      </w:r>
    </w:p>
    <w:p>
      <w:pPr>
        <w:spacing w:after="120"/>
      </w:pPr>
      <w:r>
        <w:rPr>
          <w:sz w:val="22"/>
          <w:szCs w:val="22"/>
        </w:rPr>
        <w:t xml:space="preserve">Use this guide to estimate project effort when generating proposals. Based on historical delivery data across 3,200+ projects.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SAP Module / 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Small Project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Medium Project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Large Project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S/4HANA — FICO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800–1,200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1,500–2,500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3,000–5,000 hrs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Increases with legal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S/4HANA — Full Suite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3,000–4,000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5,000–8,000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10,000–15,000 hrs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20% for custom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Ariba — Sourcing + Buying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600–900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1,000–1,800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2,000–3,500 hrs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Supplier count affects effort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SuccessFactors — EC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500–800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900–1,400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1,500–2,500 hrs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30% per country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EWM — Warehouse Mgmt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700–1,000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1,200–2,000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2,500–4,000 hrs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Warehouse complexity key 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BTP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300–500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600–1,000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1,200–2,000 hrs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integration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Migration (per object)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80–120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150–250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300–500 hrs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master data object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 (unit + integration)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 of build 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 of build 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 of build effort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UAT adds 10% on 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Training &amp; Change Mgmt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 of total 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12% of total 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 of total effort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Higher for large organisations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 of total 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 of total 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12% of total effort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percentage</w:t>
            </w:r>
          </w:p>
        </w:tc>
      </w:tr>
    </w:tbl>
    <w:p>
      <w:pPr>
        <w:pStyle w:val="Heading2"/>
        <w:spacing w:after="120" w:before="160"/>
      </w:pPr>
      <w:r>
        <w:rPr>
          <w:b/>
          <w:bCs/>
          <w:color w:val="2E5FA3"/>
          <w:sz w:val="26"/>
          <w:szCs w:val="26"/>
        </w:rPr>
        <w:t xml:space="preserve">SECTION 3: Proposal Template Structure</w:t>
      </w:r>
    </w:p>
    <w:p>
      <w:pPr>
        <w:spacing w:after="120"/>
      </w:pPr>
      <w:r>
        <w:rPr>
          <w:sz w:val="22"/>
          <w:szCs w:val="22"/>
        </w:rPr>
        <w:t xml:space="preserve">When generating a proposal, always follow this structure exactly: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Section 1 — Executive Summary (1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Understanding of client's business challenge in 3 sentences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Our proposed solution in 2 sentences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Key differentiators: why choose us over competitors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Expected business outcomes with quantified metrics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Section 2 — Our Understanding of Your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Restate the RFP requirements in our own words — shows we read it carefully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Identify any gaps or assumptions we've made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Section 3 — Proposed Solution &amp;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Solution architecture: which SAP modules, which version, deployment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Implementation methodology: phases, milestones, governance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Integration approach with existing systems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Section 4 — Relevant Experience (3 Case Studies)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Choose 3 case studies most similar to client's industry and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case study: challenge, our approach, measurable result, client satisfaction score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Section 5 — Proposed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Project Manager profile — PMP certified, relevant industry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Lead Consultant profiles — SAP certifications, years of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 team: data migration, testing, change management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Section 6 — Timeline &amp; Milestones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1: Blueprint &amp; Design (weeks 1–8)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2: Build &amp; Configuration (weeks 9–24)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3: Testing (weeks 25–30)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4: Go-Live &amp; Hypercare (weeks 31–36)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Section 7 — Investment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Effort estimate by phase (hours)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Daily rate and total commercial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Payment milestones aligned to project phases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Optional: value-based pricing model if client prefers outcome-based</w:t>
      </w:r>
    </w:p>
    <w:p>
      <w:pPr>
        <w:pStyle w:val="Heading2"/>
        <w:spacing w:after="120" w:before="160"/>
      </w:pPr>
      <w:r>
        <w:rPr>
          <w:b/>
          <w:bCs/>
          <w:color w:val="2E5FA3"/>
          <w:sz w:val="26"/>
          <w:szCs w:val="26"/>
        </w:rPr>
        <w:t xml:space="preserve">SECTION 4: Win Themes — What Judges &amp; Clients Want to Hear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 Pain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Our Win Theme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Proof Point to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Budget overrun 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Fixed-price delivery model with milestone-based payments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94% of our projects delivered within 5% of original budget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Go-live failure fear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Phased go-live approach — never big bang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P1 go-live failures in last 18 months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 quality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Dedicated senior consultants — no bait and switch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consultant experience: 7.2 years SAP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go-live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Hypercare included — 8 weeks of post go-live support standard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hypercare defect resolution: 4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 knowledge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Vertical-specific SAP templates reduce build time by 30%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Pre-built templates for manufacturing, retail, healthcare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 complexity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BTP Centre of Excellence — 40+ integration projects delivered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of integrations delivered on schedule in 2024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2026-05-06T05:43:42.498Z</dcterms:created>
  <dcterms:modified xsi:type="dcterms:W3CDTF">2026-05-06T05:43:42.498Z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