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Project Risk Register — Open Risks</w:t>
      </w:r>
    </w:p>
    <w:p>
      <w:pPr>
        <w:jc w:val="center"/>
      </w:pPr>
      <w:r>
        <w:t>Document Type: Risk Register | Classification: Internal Use Only | Last Updated: May 2025</w:t>
      </w:r>
    </w:p>
    <w:p/>
    <w:p>
      <w:pPr>
        <w:pStyle w:val="Heading1"/>
      </w:pPr>
      <w:r>
        <w:rPr>
          <w:color w:val="FF6600"/>
        </w:rPr>
        <w:t>RISK-001 — UAT sign-off blocked by client</w:t>
      </w:r>
    </w:p>
    <w:p>
      <w:r>
        <w:rPr>
          <w:b/>
          <w:sz w:val="22"/>
        </w:rPr>
        <w:t xml:space="preserve">Project: </w:t>
      </w:r>
      <w:r>
        <w:rPr>
          <w:sz w:val="22"/>
        </w:rPr>
        <w:t>KT-2024-001 — Acme Manufacturing</w:t>
      </w:r>
    </w:p>
    <w:p>
      <w:r>
        <w:rPr>
          <w:b/>
          <w:sz w:val="22"/>
        </w:rPr>
        <w:t xml:space="preserve">Severity: </w:t>
      </w:r>
      <w:r>
        <w:rPr>
          <w:b/>
          <w:color w:val="FF6600"/>
          <w:sz w:val="22"/>
        </w:rPr>
        <w:t>HIGH</w:t>
      </w:r>
    </w:p>
    <w:p>
      <w:r>
        <w:rPr>
          <w:b/>
          <w:sz w:val="22"/>
        </w:rPr>
        <w:t xml:space="preserve">Category: </w:t>
      </w:r>
      <w:r>
        <w:rPr>
          <w:sz w:val="22"/>
        </w:rPr>
        <w:t>Client Dependency</w:t>
      </w:r>
    </w:p>
    <w:p>
      <w:r>
        <w:rPr>
          <w:b/>
          <w:sz w:val="22"/>
        </w:rPr>
        <w:t xml:space="preserve">Description: </w:t>
      </w:r>
      <w:r>
        <w:rPr>
          <w:sz w:val="22"/>
        </w:rPr>
        <w:t>Client's business team has not completed User Acceptance Testing (UAT) sign-off for 3 consecutive weeks. Key decision-maker is unavailable due to internal restructuring. This is blocking the go-live preparation phase.</w:t>
      </w:r>
    </w:p>
    <w:p>
      <w:r>
        <w:rPr>
          <w:b/>
          <w:sz w:val="22"/>
        </w:rPr>
        <w:t xml:space="preserve">Business Impact: </w:t>
      </w:r>
      <w:r>
        <w:rPr>
          <w:sz w:val="22"/>
        </w:rPr>
        <w:t>Potential delay of 4–6 weeks to go-live. Additional consultant billing costs estimated at $18,000.</w:t>
      </w:r>
    </w:p>
    <w:p>
      <w:r>
        <w:rPr>
          <w:b/>
          <w:sz w:val="22"/>
        </w:rPr>
        <w:t xml:space="preserve">Risk Owner: </w:t>
      </w:r>
      <w:r>
        <w:rPr>
          <w:sz w:val="22"/>
        </w:rPr>
        <w:t>Ravi Kumar</w:t>
      </w:r>
    </w:p>
    <w:p>
      <w:r>
        <w:rPr>
          <w:b/>
          <w:sz w:val="22"/>
        </w:rPr>
        <w:t xml:space="preserve">Action Required: </w:t>
      </w:r>
      <w:r>
        <w:rPr>
          <w:sz w:val="22"/>
        </w:rPr>
        <w:t>Escalate to client CIO. Schedule emergency sign-off meeting with client project sponsor by May 10, 2025.</w:t>
      </w:r>
    </w:p>
    <w:p>
      <w:r>
        <w:rPr>
          <w:b/>
          <w:sz w:val="22"/>
        </w:rPr>
        <w:t xml:space="preserve">Current Status: </w:t>
      </w:r>
      <w:r>
        <w:rPr>
          <w:sz w:val="22"/>
        </w:rPr>
        <w:t>Escalated</w:t>
      </w:r>
    </w:p>
    <w:p>
      <w:r>
        <w:t>────────────────────────────────────────────────────────────────────────────────</w:t>
      </w:r>
    </w:p>
    <w:p>
      <w:pPr>
        <w:pStyle w:val="Heading1"/>
      </w:pPr>
      <w:r>
        <w:rPr>
          <w:color w:val="C00000"/>
        </w:rPr>
        <w:t>RISK-002 — Go-live date passed — project in crisis</w:t>
      </w:r>
    </w:p>
    <w:p>
      <w:r>
        <w:rPr>
          <w:b/>
          <w:sz w:val="22"/>
        </w:rPr>
        <w:t xml:space="preserve">Project: </w:t>
      </w:r>
      <w:r>
        <w:rPr>
          <w:sz w:val="22"/>
        </w:rPr>
        <w:t>KT-2024-003 — RetailMax Europe</w:t>
      </w:r>
    </w:p>
    <w:p>
      <w:r>
        <w:rPr>
          <w:b/>
          <w:sz w:val="22"/>
        </w:rPr>
        <w:t xml:space="preserve">Severity: </w:t>
      </w:r>
      <w:r>
        <w:rPr>
          <w:b/>
          <w:color w:val="C00000"/>
          <w:sz w:val="22"/>
        </w:rPr>
        <w:t>CRITICAL</w:t>
      </w:r>
    </w:p>
    <w:p>
      <w:r>
        <w:rPr>
          <w:b/>
          <w:sz w:val="22"/>
        </w:rPr>
        <w:t xml:space="preserve">Category: </w:t>
      </w:r>
      <w:r>
        <w:rPr>
          <w:sz w:val="22"/>
        </w:rPr>
        <w:t>Schedule &amp; Budget</w:t>
      </w:r>
    </w:p>
    <w:p>
      <w:r>
        <w:rPr>
          <w:b/>
          <w:sz w:val="22"/>
        </w:rPr>
        <w:t xml:space="preserve">Description: </w:t>
      </w:r>
      <w:r>
        <w:rPr>
          <w:sz w:val="22"/>
        </w:rPr>
        <w:t>Project was scheduled to go live in March 2025. Go-live has not occurred. Client has formally escalated to Kaartech leadership. Budget is at 97% with significant remaining work. Root cause: scope additions not formally change-controlled.</w:t>
      </w:r>
    </w:p>
    <w:p>
      <w:r>
        <w:rPr>
          <w:b/>
          <w:sz w:val="22"/>
        </w:rPr>
        <w:t xml:space="preserve">Business Impact: </w:t>
      </w:r>
      <w:r>
        <w:rPr>
          <w:sz w:val="22"/>
        </w:rPr>
        <w:t>Severe reputational risk. Potential contract penalty clause activation. Client threatening to engage alternative partner.</w:t>
      </w:r>
    </w:p>
    <w:p>
      <w:r>
        <w:rPr>
          <w:b/>
          <w:sz w:val="22"/>
        </w:rPr>
        <w:t xml:space="preserve">Risk Owner: </w:t>
      </w:r>
      <w:r>
        <w:rPr>
          <w:sz w:val="22"/>
        </w:rPr>
        <w:t>James Turner</w:t>
      </w:r>
    </w:p>
    <w:p>
      <w:r>
        <w:rPr>
          <w:b/>
          <w:sz w:val="22"/>
        </w:rPr>
        <w:t xml:space="preserve">Action Required: </w:t>
      </w:r>
      <w:r>
        <w:rPr>
          <w:sz w:val="22"/>
        </w:rPr>
        <w:t>Emergency recovery plan to be submitted within 48 hours. Delivery Head to join all client calls. Change control board meeting scheduled.</w:t>
      </w:r>
    </w:p>
    <w:p>
      <w:r>
        <w:rPr>
          <w:b/>
          <w:sz w:val="22"/>
        </w:rPr>
        <w:t xml:space="preserve">Current Status: </w:t>
      </w:r>
      <w:r>
        <w:rPr>
          <w:sz w:val="22"/>
        </w:rPr>
        <w:t>Crisis — Delivery Head Involved</w:t>
      </w:r>
    </w:p>
    <w:p>
      <w:r>
        <w:t>────────────────────────────────────────────────────────────────────────────────</w:t>
      </w:r>
    </w:p>
    <w:p>
      <w:pPr>
        <w:pStyle w:val="Heading1"/>
      </w:pPr>
      <w:r>
        <w:rPr>
          <w:color w:val="FFA500"/>
        </w:rPr>
        <w:t>RISK-003 — HR data migration 2 weeks behind schedule</w:t>
      </w:r>
    </w:p>
    <w:p>
      <w:r>
        <w:rPr>
          <w:b/>
          <w:sz w:val="22"/>
        </w:rPr>
        <w:t xml:space="preserve">Project: </w:t>
      </w:r>
      <w:r>
        <w:rPr>
          <w:sz w:val="22"/>
        </w:rPr>
        <w:t>KT-2024-004 — BioLife Pharma</w:t>
      </w:r>
    </w:p>
    <w:p>
      <w:r>
        <w:rPr>
          <w:b/>
          <w:sz w:val="22"/>
        </w:rPr>
        <w:t xml:space="preserve">Severity: </w:t>
      </w:r>
      <w:r>
        <w:rPr>
          <w:b/>
          <w:color w:val="FFA500"/>
          <w:sz w:val="22"/>
        </w:rPr>
        <w:t>MEDIUM</w:t>
      </w:r>
    </w:p>
    <w:p>
      <w:r>
        <w:rPr>
          <w:b/>
          <w:sz w:val="22"/>
        </w:rPr>
        <w:t xml:space="preserve">Category: </w:t>
      </w:r>
      <w:r>
        <w:rPr>
          <w:sz w:val="22"/>
        </w:rPr>
        <w:t>Data Migration</w:t>
      </w:r>
    </w:p>
    <w:p>
      <w:r>
        <w:rPr>
          <w:b/>
          <w:sz w:val="22"/>
        </w:rPr>
        <w:t xml:space="preserve">Description: </w:t>
      </w:r>
      <w:r>
        <w:rPr>
          <w:sz w:val="22"/>
        </w:rPr>
        <w:t>Legacy HR system data extraction has taken longer than estimated. Data quality issues found in employee master data — approximately 1,200 records have inconsistent job grades requiring manual cleansing before migration.</w:t>
      </w:r>
    </w:p>
    <w:p>
      <w:r>
        <w:rPr>
          <w:b/>
          <w:sz w:val="22"/>
        </w:rPr>
        <w:t xml:space="preserve">Business Impact: </w:t>
      </w:r>
      <w:r>
        <w:rPr>
          <w:sz w:val="22"/>
        </w:rPr>
        <w:t>Go-live date may slip by 2 weeks from September to October 2025 if not resolved by end of May.</w:t>
      </w:r>
    </w:p>
    <w:p>
      <w:r>
        <w:rPr>
          <w:b/>
          <w:sz w:val="22"/>
        </w:rPr>
        <w:t xml:space="preserve">Risk Owner: </w:t>
      </w:r>
      <w:r>
        <w:rPr>
          <w:sz w:val="22"/>
        </w:rPr>
        <w:t>Anitha Raj</w:t>
      </w:r>
    </w:p>
    <w:p>
      <w:r>
        <w:rPr>
          <w:b/>
          <w:sz w:val="22"/>
        </w:rPr>
        <w:t xml:space="preserve">Action Required: </w:t>
      </w:r>
      <w:r>
        <w:rPr>
          <w:sz w:val="22"/>
        </w:rPr>
        <w:t>Deploy 2 additional data analysts from bench. Client HR team to validate corrected records by May 20, 2025.</w:t>
      </w:r>
    </w:p>
    <w:p>
      <w:r>
        <w:rPr>
          <w:b/>
          <w:sz w:val="22"/>
        </w:rPr>
        <w:t xml:space="preserve">Current Status: </w:t>
      </w:r>
      <w:r>
        <w:rPr>
          <w:sz w:val="22"/>
        </w:rPr>
        <w:t>In Progress</w:t>
      </w:r>
    </w:p>
    <w:p>
      <w:r>
        <w:t>────────────────────────────────────────────────────────────────────────────────</w:t>
      </w:r>
    </w:p>
    <w:p>
      <w:pPr>
        <w:pStyle w:val="Heading1"/>
      </w:pPr>
      <w:r>
        <w:rPr>
          <w:color w:val="FF6600"/>
        </w:rPr>
        <w:t>RISK-004 — Scope creep causing budget exhaustion</w:t>
      </w:r>
    </w:p>
    <w:p>
      <w:r>
        <w:rPr>
          <w:b/>
          <w:sz w:val="22"/>
        </w:rPr>
        <w:t xml:space="preserve">Project: </w:t>
      </w:r>
      <w:r>
        <w:rPr>
          <w:sz w:val="22"/>
        </w:rPr>
        <w:t>KT-2024-006 — NovaTech Logistics</w:t>
      </w:r>
    </w:p>
    <w:p>
      <w:r>
        <w:rPr>
          <w:b/>
          <w:sz w:val="22"/>
        </w:rPr>
        <w:t xml:space="preserve">Severity: </w:t>
      </w:r>
      <w:r>
        <w:rPr>
          <w:b/>
          <w:color w:val="FF6600"/>
          <w:sz w:val="22"/>
        </w:rPr>
        <w:t>HIGH</w:t>
      </w:r>
    </w:p>
    <w:p>
      <w:r>
        <w:rPr>
          <w:b/>
          <w:sz w:val="22"/>
        </w:rPr>
        <w:t xml:space="preserve">Category: </w:t>
      </w:r>
      <w:r>
        <w:rPr>
          <w:sz w:val="22"/>
        </w:rPr>
        <w:t>Budget Overrun</w:t>
      </w:r>
    </w:p>
    <w:p>
      <w:r>
        <w:rPr>
          <w:b/>
          <w:sz w:val="22"/>
        </w:rPr>
        <w:t xml:space="preserve">Description: </w:t>
      </w:r>
      <w:r>
        <w:rPr>
          <w:sz w:val="22"/>
        </w:rPr>
        <w:t>Client has requested 14 additional customisations beyond original scope without raising formal change requests. These have been absorbed informally by the team, resulting in budget reaching 88% with 35% of deliverables remaining.</w:t>
      </w:r>
    </w:p>
    <w:p>
      <w:r>
        <w:rPr>
          <w:b/>
          <w:sz w:val="22"/>
        </w:rPr>
        <w:t xml:space="preserve">Business Impact: </w:t>
      </w:r>
      <w:r>
        <w:rPr>
          <w:sz w:val="22"/>
        </w:rPr>
        <w:t>Project will exceed budget by estimated $45,000 if scope additions are not formalised and billed.</w:t>
      </w:r>
    </w:p>
    <w:p>
      <w:r>
        <w:rPr>
          <w:b/>
          <w:sz w:val="22"/>
        </w:rPr>
        <w:t xml:space="preserve">Risk Owner: </w:t>
      </w:r>
      <w:r>
        <w:rPr>
          <w:sz w:val="22"/>
        </w:rPr>
        <w:t>Marco Rossi</w:t>
      </w:r>
    </w:p>
    <w:p>
      <w:r>
        <w:rPr>
          <w:b/>
          <w:sz w:val="22"/>
        </w:rPr>
        <w:t xml:space="preserve">Action Required: </w:t>
      </w:r>
      <w:r>
        <w:rPr>
          <w:sz w:val="22"/>
        </w:rPr>
        <w:t>Freeze all scope additions immediately. Raise change requests for all informal additions. Commercial discussion with client to be led by Account Manager.</w:t>
      </w:r>
    </w:p>
    <w:p>
      <w:r>
        <w:rPr>
          <w:b/>
          <w:sz w:val="22"/>
        </w:rPr>
        <w:t xml:space="preserve">Current Status: </w:t>
      </w:r>
      <w:r>
        <w:rPr>
          <w:sz w:val="22"/>
        </w:rPr>
        <w:t>Open — Pending Commercial Review</w:t>
      </w:r>
    </w:p>
    <w:p>
      <w:r>
        <w:t>────────────────────────────────────────────────────────────────────────────────</w:t>
      </w:r>
    </w:p>
    <w:p>
      <w:pPr>
        <w:pStyle w:val="Heading1"/>
      </w:pPr>
      <w:r>
        <w:rPr>
          <w:color w:val="C00000"/>
        </w:rPr>
        <w:t>RISK-005 — UAT not started with go-live in 4 weeks</w:t>
      </w:r>
    </w:p>
    <w:p>
      <w:r>
        <w:rPr>
          <w:b/>
          <w:sz w:val="22"/>
        </w:rPr>
        <w:t xml:space="preserve">Project: </w:t>
      </w:r>
      <w:r>
        <w:rPr>
          <w:sz w:val="22"/>
        </w:rPr>
        <w:t>KT-2024-010 — Metro Power Grid</w:t>
      </w:r>
    </w:p>
    <w:p>
      <w:r>
        <w:rPr>
          <w:b/>
          <w:sz w:val="22"/>
        </w:rPr>
        <w:t xml:space="preserve">Severity: </w:t>
      </w:r>
      <w:r>
        <w:rPr>
          <w:b/>
          <w:color w:val="C00000"/>
          <w:sz w:val="22"/>
        </w:rPr>
        <w:t>CRITICAL</w:t>
      </w:r>
    </w:p>
    <w:p>
      <w:r>
        <w:rPr>
          <w:b/>
          <w:sz w:val="22"/>
        </w:rPr>
        <w:t xml:space="preserve">Category: </w:t>
      </w:r>
      <w:r>
        <w:rPr>
          <w:sz w:val="22"/>
        </w:rPr>
        <w:t>Testing</w:t>
      </w:r>
    </w:p>
    <w:p>
      <w:r>
        <w:rPr>
          <w:b/>
          <w:sz w:val="22"/>
        </w:rPr>
        <w:t xml:space="preserve">Description: </w:t>
      </w:r>
      <w:r>
        <w:rPr>
          <w:sz w:val="22"/>
        </w:rPr>
        <w:t>Go-live is scheduled for June 1, 2025. UAT environment is not yet ready due to infrastructure delays on client side. Testing has not commenced. Industry standard requires minimum 6 weeks for UAT in utility sector implementations.</w:t>
      </w:r>
    </w:p>
    <w:p>
      <w:r>
        <w:rPr>
          <w:b/>
          <w:sz w:val="22"/>
        </w:rPr>
        <w:t xml:space="preserve">Business Impact: </w:t>
      </w:r>
      <w:r>
        <w:rPr>
          <w:sz w:val="22"/>
        </w:rPr>
        <w:t>Go-live will almost certainly need to be postponed. Regulatory compliance risk as client has communicated a non-negotiable go-live commitment to their regulator.</w:t>
      </w:r>
    </w:p>
    <w:p>
      <w:r>
        <w:rPr>
          <w:b/>
          <w:sz w:val="22"/>
        </w:rPr>
        <w:t xml:space="preserve">Risk Owner: </w:t>
      </w:r>
      <w:r>
        <w:rPr>
          <w:sz w:val="22"/>
        </w:rPr>
        <w:t>David Clarke</w:t>
      </w:r>
    </w:p>
    <w:p>
      <w:r>
        <w:rPr>
          <w:b/>
          <w:sz w:val="22"/>
        </w:rPr>
        <w:t xml:space="preserve">Action Required: </w:t>
      </w:r>
      <w:r>
        <w:rPr>
          <w:sz w:val="22"/>
        </w:rPr>
        <w:t>Daily escalation call with client IT Director. Explore option of parallel production readiness while UAT progresses. Legal to review contract terms around go-live commitments.</w:t>
      </w:r>
    </w:p>
    <w:p>
      <w:r>
        <w:rPr>
          <w:b/>
          <w:sz w:val="22"/>
        </w:rPr>
        <w:t xml:space="preserve">Current Status: </w:t>
      </w:r>
      <w:r>
        <w:rPr>
          <w:sz w:val="22"/>
        </w:rPr>
        <w:t>Critical — Escalated to VP Delivery</w:t>
      </w:r>
    </w:p>
    <w:p>
      <w:r>
        <w:t>────────────────────────────────────────────────────────────────────────────────</w:t>
      </w:r>
    </w:p>
    <w:p>
      <w:pPr>
        <w:pStyle w:val="Heading1"/>
      </w:pPr>
      <w:r>
        <w:rPr>
          <w:color w:val="FF6600"/>
        </w:rPr>
        <w:t>RISK-006 — Key SAP FICO consultant resigned</w:t>
      </w:r>
    </w:p>
    <w:p>
      <w:r>
        <w:rPr>
          <w:b/>
          <w:sz w:val="22"/>
        </w:rPr>
        <w:t xml:space="preserve">Project: </w:t>
      </w:r>
      <w:r>
        <w:rPr>
          <w:sz w:val="22"/>
        </w:rPr>
        <w:t>KT-2024-015 — SkyWings Airlines</w:t>
      </w:r>
    </w:p>
    <w:p>
      <w:r>
        <w:rPr>
          <w:b/>
          <w:sz w:val="22"/>
        </w:rPr>
        <w:t xml:space="preserve">Severity: </w:t>
      </w:r>
      <w:r>
        <w:rPr>
          <w:b/>
          <w:color w:val="FF6600"/>
          <w:sz w:val="22"/>
        </w:rPr>
        <w:t>HIGH</w:t>
      </w:r>
    </w:p>
    <w:p>
      <w:r>
        <w:rPr>
          <w:b/>
          <w:sz w:val="22"/>
        </w:rPr>
        <w:t xml:space="preserve">Category: </w:t>
      </w:r>
      <w:r>
        <w:rPr>
          <w:sz w:val="22"/>
        </w:rPr>
        <w:t>Resource</w:t>
      </w:r>
    </w:p>
    <w:p>
      <w:r>
        <w:rPr>
          <w:b/>
          <w:sz w:val="22"/>
        </w:rPr>
        <w:t xml:space="preserve">Description: </w:t>
      </w:r>
      <w:r>
        <w:rPr>
          <w:sz w:val="22"/>
        </w:rPr>
        <w:t>Senior SAP FICO consultant with 8 years of experience left the project abruptly. This consultant was the sole owner of the financial closing configuration and month-end automation scripts. Knowledge transfer was incomplete.</w:t>
      </w:r>
    </w:p>
    <w:p>
      <w:r>
        <w:rPr>
          <w:b/>
          <w:sz w:val="22"/>
        </w:rPr>
        <w:t xml:space="preserve">Business Impact: </w:t>
      </w:r>
      <w:r>
        <w:rPr>
          <w:sz w:val="22"/>
        </w:rPr>
        <w:t>Critical path activity blocked for estimated 3 weeks while replacement is identified and onboarded. Risk of configuration errors if handover is rushed.</w:t>
      </w:r>
    </w:p>
    <w:p>
      <w:r>
        <w:rPr>
          <w:b/>
          <w:sz w:val="22"/>
        </w:rPr>
        <w:t xml:space="preserve">Risk Owner: </w:t>
      </w:r>
      <w:r>
        <w:rPr>
          <w:sz w:val="22"/>
        </w:rPr>
        <w:t>Nisha Patel</w:t>
      </w:r>
    </w:p>
    <w:p>
      <w:r>
        <w:rPr>
          <w:b/>
          <w:sz w:val="22"/>
        </w:rPr>
        <w:t xml:space="preserve">Action Required: </w:t>
      </w:r>
      <w:r>
        <w:rPr>
          <w:sz w:val="22"/>
        </w:rPr>
        <w:t>Identify internal replacement from bench. Initiate knowledge recovery from code repositories and design documents. Offer retention bonus to remaining FICO team members.</w:t>
      </w:r>
    </w:p>
    <w:p>
      <w:r>
        <w:rPr>
          <w:b/>
          <w:sz w:val="22"/>
        </w:rPr>
        <w:t xml:space="preserve">Current Status: </w:t>
      </w:r>
      <w:r>
        <w:rPr>
          <w:sz w:val="22"/>
        </w:rPr>
        <w:t>Open — Resource Search Active</w:t>
      </w:r>
    </w:p>
    <w:p>
      <w:r>
        <w:t>────────────────────────────────────────────────────────────────────────────────</w:t>
      </w:r>
    </w:p>
    <w:p>
      <w:pPr>
        <w:pStyle w:val="Heading1"/>
      </w:pPr>
      <w:r>
        <w:rPr>
          <w:color w:val="FFA500"/>
        </w:rPr>
        <w:t>RISK-007 — Integration testing delayed — third-party API issues</w:t>
      </w:r>
    </w:p>
    <w:p>
      <w:r>
        <w:rPr>
          <w:b/>
          <w:sz w:val="22"/>
        </w:rPr>
        <w:t xml:space="preserve">Project: </w:t>
      </w:r>
      <w:r>
        <w:rPr>
          <w:sz w:val="22"/>
        </w:rPr>
        <w:t>KT-2024-008 — Pacific Foods</w:t>
      </w:r>
    </w:p>
    <w:p>
      <w:r>
        <w:rPr>
          <w:b/>
          <w:sz w:val="22"/>
        </w:rPr>
        <w:t xml:space="preserve">Severity: </w:t>
      </w:r>
      <w:r>
        <w:rPr>
          <w:b/>
          <w:color w:val="FFA500"/>
          <w:sz w:val="22"/>
        </w:rPr>
        <w:t>MEDIUM</w:t>
      </w:r>
    </w:p>
    <w:p>
      <w:r>
        <w:rPr>
          <w:b/>
          <w:sz w:val="22"/>
        </w:rPr>
        <w:t xml:space="preserve">Category: </w:t>
      </w:r>
      <w:r>
        <w:rPr>
          <w:sz w:val="22"/>
        </w:rPr>
        <w:t>Integration</w:t>
      </w:r>
    </w:p>
    <w:p>
      <w:r>
        <w:rPr>
          <w:b/>
          <w:sz w:val="22"/>
        </w:rPr>
        <w:t xml:space="preserve">Description: </w:t>
      </w:r>
      <w:r>
        <w:rPr>
          <w:sz w:val="22"/>
        </w:rPr>
        <w:t>Integration between SAP and client's third-party demand planning system (Blue Yonder) is failing in test environment. API response times are 8x slower than spec. Root cause identified as Blue Yonder's test environment throttling.</w:t>
      </w:r>
    </w:p>
    <w:p>
      <w:r>
        <w:rPr>
          <w:b/>
          <w:sz w:val="22"/>
        </w:rPr>
        <w:t xml:space="preserve">Business Impact: </w:t>
      </w:r>
      <w:r>
        <w:rPr>
          <w:sz w:val="22"/>
        </w:rPr>
        <w:t>Integration testing milestone delayed by 1 week. Could affect overall go-live by 2 weeks if not resolved before end-to-end testing begins.</w:t>
      </w:r>
    </w:p>
    <w:p>
      <w:r>
        <w:rPr>
          <w:b/>
          <w:sz w:val="22"/>
        </w:rPr>
        <w:t xml:space="preserve">Risk Owner: </w:t>
      </w:r>
      <w:r>
        <w:rPr>
          <w:sz w:val="22"/>
        </w:rPr>
        <w:t>Chen Wei</w:t>
      </w:r>
    </w:p>
    <w:p>
      <w:r>
        <w:rPr>
          <w:b/>
          <w:sz w:val="22"/>
        </w:rPr>
        <w:t xml:space="preserve">Action Required: </w:t>
      </w:r>
      <w:r>
        <w:rPr>
          <w:sz w:val="22"/>
        </w:rPr>
        <w:t>Client to escalate with Blue Yonder support. Kaartech integration team to develop fallback flat-file mechanism as contingency.</w:t>
      </w:r>
    </w:p>
    <w:p>
      <w:r>
        <w:rPr>
          <w:b/>
          <w:sz w:val="22"/>
        </w:rPr>
        <w:t xml:space="preserve">Current Status: </w:t>
      </w:r>
      <w:r>
        <w:rPr>
          <w:sz w:val="22"/>
        </w:rPr>
        <w:t>In Progress — Vendor Engaged</w:t>
      </w:r>
    </w:p>
    <w:p>
      <w:r>
        <w:t>────────────────────────────────────────────────────────────────────────────────</w:t>
      </w:r>
    </w:p>
    <w:p>
      <w:pPr>
        <w:pStyle w:val="Heading1"/>
      </w:pPr>
      <w:r>
        <w:rPr>
          <w:color w:val="FFA500"/>
        </w:rPr>
        <w:t>RISK-008 — GDPR data handling validation pending</w:t>
      </w:r>
    </w:p>
    <w:p>
      <w:r>
        <w:rPr>
          <w:b/>
          <w:sz w:val="22"/>
        </w:rPr>
        <w:t xml:space="preserve">Project: </w:t>
      </w:r>
      <w:r>
        <w:rPr>
          <w:sz w:val="22"/>
        </w:rPr>
        <w:t>KT-2024-004 — BioLife Pharma</w:t>
      </w:r>
    </w:p>
    <w:p>
      <w:r>
        <w:rPr>
          <w:b/>
          <w:sz w:val="22"/>
        </w:rPr>
        <w:t xml:space="preserve">Severity: </w:t>
      </w:r>
      <w:r>
        <w:rPr>
          <w:b/>
          <w:color w:val="FFA500"/>
          <w:sz w:val="22"/>
        </w:rPr>
        <w:t>MEDIUM</w:t>
      </w:r>
    </w:p>
    <w:p>
      <w:r>
        <w:rPr>
          <w:b/>
          <w:sz w:val="22"/>
        </w:rPr>
        <w:t xml:space="preserve">Category: </w:t>
      </w:r>
      <w:r>
        <w:rPr>
          <w:sz w:val="22"/>
        </w:rPr>
        <w:t>Compliance</w:t>
      </w:r>
    </w:p>
    <w:p>
      <w:r>
        <w:rPr>
          <w:b/>
          <w:sz w:val="22"/>
        </w:rPr>
        <w:t xml:space="preserve">Description: </w:t>
      </w:r>
      <w:r>
        <w:rPr>
          <w:sz w:val="22"/>
        </w:rPr>
        <w:t>SAP SuccessFactors stores EU employee personal data. Data Privacy Impact Assessment (DPIA) required by client's legal team before go-live. DPIA has not yet been initiated. Processing of EU employee data without DPIA constitutes a GDPR violation.</w:t>
      </w:r>
    </w:p>
    <w:p>
      <w:r>
        <w:rPr>
          <w:b/>
          <w:sz w:val="22"/>
        </w:rPr>
        <w:t xml:space="preserve">Business Impact: </w:t>
      </w:r>
      <w:r>
        <w:rPr>
          <w:sz w:val="22"/>
        </w:rPr>
        <w:t>Regulatory risk for client. Could block go-live if legal team withholds approval. Risk to Kaartech reputation as implementation partner.</w:t>
      </w:r>
    </w:p>
    <w:p>
      <w:r>
        <w:rPr>
          <w:b/>
          <w:sz w:val="22"/>
        </w:rPr>
        <w:t xml:space="preserve">Risk Owner: </w:t>
      </w:r>
      <w:r>
        <w:rPr>
          <w:sz w:val="22"/>
        </w:rPr>
        <w:t>Anitha Raj</w:t>
      </w:r>
    </w:p>
    <w:p>
      <w:r>
        <w:rPr>
          <w:b/>
          <w:sz w:val="22"/>
        </w:rPr>
        <w:t xml:space="preserve">Action Required: </w:t>
      </w:r>
      <w:r>
        <w:rPr>
          <w:sz w:val="22"/>
        </w:rPr>
        <w:t>Client legal team to initiate DPIA by May 15. Kaartech to provide data flow documentation by May 12 to support assessment.</w:t>
      </w:r>
    </w:p>
    <w:p>
      <w:r>
        <w:rPr>
          <w:b/>
          <w:sz w:val="22"/>
        </w:rPr>
        <w:t xml:space="preserve">Current Status: </w:t>
      </w:r>
      <w:r>
        <w:rPr>
          <w:sz w:val="22"/>
        </w:rPr>
        <w:t>Open — Awaiting Client Action</w:t>
      </w:r>
    </w:p>
    <w:p>
      <w:r>
        <w:t>────────────────────────────────────────────────────────────────────────────────</w:t>
      </w:r>
    </w:p>
    <w:p>
      <w:pPr>
        <w:pStyle w:val="Heading1"/>
      </w:pPr>
      <w:r>
        <w:rPr>
          <w:color w:val="FFA500"/>
        </w:rPr>
        <w:t>RISK-009 — Warehouse configuration 10 days behind plan</w:t>
      </w:r>
    </w:p>
    <w:p>
      <w:r>
        <w:rPr>
          <w:b/>
          <w:sz w:val="22"/>
        </w:rPr>
        <w:t xml:space="preserve">Project: </w:t>
      </w:r>
      <w:r>
        <w:rPr>
          <w:sz w:val="22"/>
        </w:rPr>
        <w:t>KT-2024-012 — Atlantic Shipping</w:t>
      </w:r>
    </w:p>
    <w:p>
      <w:r>
        <w:rPr>
          <w:b/>
          <w:sz w:val="22"/>
        </w:rPr>
        <w:t xml:space="preserve">Severity: </w:t>
      </w:r>
      <w:r>
        <w:rPr>
          <w:b/>
          <w:color w:val="FFA500"/>
          <w:sz w:val="22"/>
        </w:rPr>
        <w:t>MEDIUM</w:t>
      </w:r>
    </w:p>
    <w:p>
      <w:r>
        <w:rPr>
          <w:b/>
          <w:sz w:val="22"/>
        </w:rPr>
        <w:t xml:space="preserve">Category: </w:t>
      </w:r>
      <w:r>
        <w:rPr>
          <w:sz w:val="22"/>
        </w:rPr>
        <w:t>Schedule</w:t>
      </w:r>
    </w:p>
    <w:p>
      <w:r>
        <w:rPr>
          <w:b/>
          <w:sz w:val="22"/>
        </w:rPr>
        <w:t xml:space="preserve">Description: </w:t>
      </w:r>
      <w:r>
        <w:rPr>
          <w:sz w:val="22"/>
        </w:rPr>
        <w:t>SAP Extended Warehouse Management (EWM) putaway strategy configuration is behind schedule due to changing warehouse layout decisions by the client operations team. Three layout revisions have been received in the past 4 weeks.</w:t>
      </w:r>
    </w:p>
    <w:p>
      <w:r>
        <w:rPr>
          <w:b/>
          <w:sz w:val="22"/>
        </w:rPr>
        <w:t xml:space="preserve">Business Impact: </w:t>
      </w:r>
      <w:r>
        <w:rPr>
          <w:sz w:val="22"/>
        </w:rPr>
        <w:t>Go-live may slip from August to September 2025 if configuration freeze is not agreed by May 20.</w:t>
      </w:r>
    </w:p>
    <w:p>
      <w:r>
        <w:rPr>
          <w:b/>
          <w:sz w:val="22"/>
        </w:rPr>
        <w:t xml:space="preserve">Risk Owner: </w:t>
      </w:r>
      <w:r>
        <w:rPr>
          <w:sz w:val="22"/>
        </w:rPr>
        <w:t>Maria Gonzalez</w:t>
      </w:r>
    </w:p>
    <w:p>
      <w:r>
        <w:rPr>
          <w:b/>
          <w:sz w:val="22"/>
        </w:rPr>
        <w:t xml:space="preserve">Action Required: </w:t>
      </w:r>
      <w:r>
        <w:rPr>
          <w:sz w:val="22"/>
        </w:rPr>
        <w:t>Configuration freeze agreement to be signed by client Operations Director. No further layout changes to be accepted after freeze date.</w:t>
      </w:r>
    </w:p>
    <w:p>
      <w:r>
        <w:rPr>
          <w:b/>
          <w:sz w:val="22"/>
        </w:rPr>
        <w:t xml:space="preserve">Current Status: </w:t>
      </w:r>
      <w:r>
        <w:rPr>
          <w:sz w:val="22"/>
        </w:rPr>
        <w:t>Open — Freeze Agreement Pending</w:t>
      </w:r>
    </w:p>
    <w:p>
      <w:r>
        <w:t>────────────────────────────────────────────────────────────────────────────────</w:t>
      </w:r>
    </w:p>
    <w:p>
      <w:pPr>
        <w:pStyle w:val="Heading1"/>
      </w:pPr>
      <w:r>
        <w:rPr>
          <w:color w:val="FFA500"/>
        </w:rPr>
        <w:t>RISK-010 — Project on hold — revenue at risk</w:t>
      </w:r>
    </w:p>
    <w:p>
      <w:r>
        <w:rPr>
          <w:b/>
          <w:sz w:val="22"/>
        </w:rPr>
        <w:t xml:space="preserve">Project: </w:t>
      </w:r>
      <w:r>
        <w:rPr>
          <w:sz w:val="22"/>
        </w:rPr>
        <w:t>KT-2024-007 — Desert Palm Hotels</w:t>
      </w:r>
    </w:p>
    <w:p>
      <w:r>
        <w:rPr>
          <w:b/>
          <w:sz w:val="22"/>
        </w:rPr>
        <w:t xml:space="preserve">Severity: </w:t>
      </w:r>
      <w:r>
        <w:rPr>
          <w:b/>
          <w:color w:val="FFA500"/>
          <w:sz w:val="22"/>
        </w:rPr>
        <w:t>MEDIUM</w:t>
      </w:r>
    </w:p>
    <w:p>
      <w:r>
        <w:rPr>
          <w:b/>
          <w:sz w:val="22"/>
        </w:rPr>
        <w:t xml:space="preserve">Category: </w:t>
      </w:r>
      <w:r>
        <w:rPr>
          <w:sz w:val="22"/>
        </w:rPr>
        <w:t>Project Continuity</w:t>
      </w:r>
    </w:p>
    <w:p>
      <w:r>
        <w:rPr>
          <w:b/>
          <w:sz w:val="22"/>
        </w:rPr>
        <w:t xml:space="preserve">Description: </w:t>
      </w:r>
      <w:r>
        <w:rPr>
          <w:sz w:val="22"/>
        </w:rPr>
        <w:t>Client initiated a hold on the project in April 2025 due to internal leadership restructuring. No confirmed restart date provided. Project team is partially demobilised. Monthly retainer agreement is under review by client's new CFO.</w:t>
      </w:r>
    </w:p>
    <w:p>
      <w:r>
        <w:rPr>
          <w:b/>
          <w:sz w:val="22"/>
        </w:rPr>
        <w:t xml:space="preserve">Business Impact: </w:t>
      </w:r>
      <w:r>
        <w:rPr>
          <w:sz w:val="22"/>
        </w:rPr>
        <w:t>Revenue at risk: $150,000 remaining contract value. Team members redeployed may not be available when project resumes, causing ramp-up delays.</w:t>
      </w:r>
    </w:p>
    <w:p>
      <w:r>
        <w:rPr>
          <w:b/>
          <w:sz w:val="22"/>
        </w:rPr>
        <w:t xml:space="preserve">Risk Owner: </w:t>
      </w:r>
      <w:r>
        <w:rPr>
          <w:sz w:val="22"/>
        </w:rPr>
        <w:t>Fatima Al-Zahra</w:t>
      </w:r>
    </w:p>
    <w:p>
      <w:r>
        <w:rPr>
          <w:b/>
          <w:sz w:val="22"/>
        </w:rPr>
        <w:t xml:space="preserve">Action Required: </w:t>
      </w:r>
      <w:r>
        <w:rPr>
          <w:sz w:val="22"/>
        </w:rPr>
        <w:t>Monthly check-in call with client maintained. Account Manager to engage new CFO. Resource redeployment plan to be updated fortnightly.</w:t>
      </w:r>
    </w:p>
    <w:p>
      <w:r>
        <w:rPr>
          <w:b/>
          <w:sz w:val="22"/>
        </w:rPr>
        <w:t xml:space="preserve">Current Status: </w:t>
      </w:r>
      <w:r>
        <w:rPr>
          <w:sz w:val="22"/>
        </w:rPr>
        <w:t>Monitoring — On Hold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