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line="240" w:lineRule="auto" w:after="120"/>
        <w:jc w:val="center"/>
      </w:pPr>
      <w:r>
        <w:rPr>
          <w:rFonts w:ascii="Arial" w:hAnsi="Arial"/>
          <w:sz w:val="24"/>
          <w:b/>
        </w:rPr>
        <w:t xml:space="preserve">A PERCEPÇÃO DE ESTUDANTES DE GRADUAÇÃO SOBRE A FORMATAÇÃO DE TRABALHOS ACADÊMICOS: UM ESTUDO EXPLORATÓRIO</w:t>
      </w:r>
    </w:p>
    <w:p>
      <w:pPr>
        <w:spacing w:line="240" w:lineRule="auto" w:after="240"/>
        <w:jc w:val="center"/>
      </w:pPr>
      <w:r>
        <w:rPr>
          <w:rFonts w:ascii="Arial" w:hAnsi="Arial"/>
          <w:sz w:val="22"/>
          <w:i/>
        </w:rPr>
        <w:t xml:space="preserve">Undergraduate students' perception of academic paper formatting: an exploratory study</w:t>
      </w:r>
    </w:p>
    <w:p>
      <w:pPr>
        <w:spacing w:line="240" w:lineRule="auto" w:after="0"/>
        <w:jc w:val="right"/>
      </w:pPr>
      <w:r>
        <w:rPr>
          <w:rFonts w:ascii="Arial" w:hAnsi="Arial"/>
          <w:sz w:val="22"/>
        </w:rPr>
        <w:t xml:space="preserve">Maria Eduarda Nogueira Prado</w:t>
      </w:r>
    </w:p>
    <w:p>
      <w:pPr>
        <w:spacing w:line="240" w:lineRule="auto" w:after="0"/>
        <w:jc w:val="right"/>
      </w:pPr>
      <w:r>
        <w:rPr>
          <w:rFonts w:ascii="Arial" w:hAnsi="Arial"/>
          <w:sz w:val="20"/>
          <w:i/>
        </w:rPr>
        <w:t xml:space="preserve">Universidade Federal de Uberlândia — mariaeduarda.prado@exemplo.edu.br</w:t>
      </w:r>
    </w:p>
    <w:p>
      <w:pPr>
        <w:spacing w:line="240" w:lineRule="auto" w:after="0"/>
        <w:jc w:val="right"/>
      </w:pPr>
      <w:r>
        <w:rPr>
          <w:rFonts w:ascii="Arial" w:hAnsi="Arial"/>
          <w:sz w:val="22"/>
        </w:rPr>
        <w:t xml:space="preserve">Rafael Siqueira de Andrade</w:t>
      </w:r>
    </w:p>
    <w:p>
      <w:pPr>
        <w:spacing w:line="240" w:lineRule="auto" w:after="240"/>
        <w:jc w:val="right"/>
      </w:pPr>
      <w:r>
        <w:rPr>
          <w:rFonts w:ascii="Arial" w:hAnsi="Arial"/>
          <w:sz w:val="20"/>
          <w:i/>
        </w:rPr>
        <w:t xml:space="preserve">Universidade Federal de Uberlândia — rafael.andrade@exemplo.edu.br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RESUMO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Este trabalho investiga a percepção de estudantes de graduação a respeito do processo de formatação de trabalhos acadêmicos segundo normas técnicas. A reformatação manual de um artigo para atender às diretrizes de um periódico consome tempo que poderia ser dedicado à pesquisa propriamente dita, e precisa ser refeita a cada submissão em veículo distinto. Aplicou-se um questionário a 182 estudantes de oito cursos de uma universidade pública brasileira, complementado por entrevistas semiestruturadas com 14 participantes. Os resultados indicam que 78% dos respondentes já tiveram trabalho devolvido por problema de formatação, e que o tempo médio declarado para adequar um artigo a uma norma específica é de 4,2 horas. Conclui-se que há demanda concreta por ferramentas de automação, especialmente entre estudantes sem acesso a orientação metodológica sistemática.</w:t>
      </w:r>
    </w:p>
    <w:p>
      <w:pPr>
        <w:spacing w:line="240" w:lineRule="auto" w:after="240"/>
        <w:jc w:val="left"/>
      </w:pPr>
      <w:r>
        <w:rPr>
          <w:rFonts w:ascii="Arial" w:hAnsi="Arial"/>
          <w:sz w:val="22"/>
        </w:rPr>
        <w:t xml:space="preserve">Palavras-chave: Normalização documental. Escrita acadêmica. Automação. ABNT. Ensino superior.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ABSTRACT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This study investigates undergraduate students' perception of the process of formatting academic papers according to technical standards. Manually reformatting an article to meet a journal's guidelines consumes time that could be devoted to research itself, and must be redone at each submission to a different venue. A questionnaire was administered to 182 students from eight programs at a Brazilian public university, complemented by semi-structured interviews with 14 participants. Results indicate that 78% of respondents have had work returned due to formatting problems.</w:t>
      </w:r>
    </w:p>
    <w:p>
      <w:pPr>
        <w:spacing w:line="240" w:lineRule="auto" w:after="240"/>
        <w:jc w:val="left"/>
      </w:pPr>
      <w:r>
        <w:rPr>
          <w:rFonts w:ascii="Arial" w:hAnsi="Arial"/>
          <w:sz w:val="22"/>
        </w:rPr>
        <w:t xml:space="preserve">Keywords: Documentary standardization. Academic writing. Automation. Higher education.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1 INTRODUÇÃO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A normalização de trabalhos acadêmicos é requisito formal em praticamente todos os programas de pós-graduação brasileiros. No Brasil, a Associação Brasileira de Normas Técnicas (ABNT) publica um conjunto de normas que regula desde a estrutura do trabalho até o formato das referências (ABNT, 2011). Apesar de amplamente adotadas, essas normas convivem com diretrizes próprias de cada periódico, o que multiplica o esforço de adequação.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Segundo Marconi e Lakatos (2017), a apresentação formal de um trabalho científico não é detalhe acessório: ela comunica rigor e facilita a recuperação da informação. Por outro lado, autores como Severino (2016) argumentam que o excesso de prescrição formal pode deslocar a atenção do estudante do conteúdo para a forma.</w:t>
      </w:r>
    </w:p>
    <w:p>
      <w:pPr>
        <w:spacing w:line="240" w:lineRule="auto" w:after="240"/>
        <w:jc w:val="left"/>
      </w:pPr>
      <w:r>
        <w:rPr>
          <w:rFonts w:ascii="Arial" w:hAnsi="Arial"/>
          <w:sz w:val="22"/>
        </w:rPr>
        <w:t xml:space="preserve">Este artigo tem por objetivo mapear como estudantes de graduação percebem esse processo, quanto tempo declaram investir nele e que estratégias adotam para lidar com a exigência. A pergunta que orienta a investigação é: em que medida a formatação manual representa um obstáculo percebido à produção acadêmica discente?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2 METODOLOGIA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Trata-se de pesquisa exploratória de abordagem mista, conduzida entre março e agosto de 2025. A etapa quantitativa consistiu na aplicação de questionário eletrônico a estudantes regularmente matriculados, com amostragem não probabilística por conveniência.</w:t>
      </w:r>
    </w:p>
    <w:p>
      <w:pPr>
        <w:pStyle w:val="Heading2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2.1 Instrumento de coleta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O questionário foi composto por 22 questões, sendo 18 fechadas e 4 abertas. As questões fechadas utilizaram escala Likert de cinco pontos. O instrumento foi submetido a pré-teste com 12 estudantes, o que resultou na reformulação de três itens considerados ambíguos.</w:t>
      </w:r>
    </w:p>
    <w:p>
      <w:pPr>
        <w:pStyle w:val="Heading2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2.2 Participantes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Participaram 182 estudantes, distribuídos conforme a Tabela 1. A idade média foi de 22,7 anos (DP = 4,1), e 61% cursavam a segunda metade do curso.</w:t>
      </w:r>
    </w:p>
    <w:p>
      <w:pPr>
        <w:spacing w:line="240" w:lineRule="auto" w:after="60"/>
        <w:jc w:val="center"/>
      </w:pPr>
      <w:r>
        <w:rPr>
          <w:rFonts w:ascii="Arial" w:hAnsi="Arial"/>
          <w:sz w:val="20"/>
          <w:b/>
        </w:rPr>
        <w:t xml:space="preserve">Tabela 1 — Distribuição dos participantes por área de conhecimento</w:t>
      </w:r>
    </w:p>
    <w:tbl>
      <w:tblPr>
        <w:tblW w:w="0" w:type="auto"/>
        <w:tblBorders>
          <w:top w:val="single" w:sz="4" w:color="000000"/>
          <w:bottom w:val="single" w:sz="4" w:color="000000"/>
          <w:insideH w:val="single" w:sz="4" w:color="000000"/>
        </w:tblBorders>
      </w:tblP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  <w:b/>
              </w:rPr>
              <w:t xml:space="preserve">Área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  <w:b/>
              </w:rPr>
              <w:t xml:space="preserve">n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  <w:b/>
              </w:rPr>
              <w:t xml:space="preserve">%</w:t>
            </w:r>
          </w:p>
        </w:tc>
      </w:t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Ciências Humanas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54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29,7</w:t>
            </w:r>
          </w:p>
        </w:tc>
      </w:t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Ciências Exatas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47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25,8</w:t>
            </w:r>
          </w:p>
        </w:tc>
      </w:t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Ciências da Saúde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39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21,4</w:t>
            </w:r>
          </w:p>
        </w:tc>
      </w:t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Ciências Sociais Aplicadas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42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23,1</w:t>
            </w:r>
          </w:p>
        </w:tc>
      </w:tr>
      <w:tr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Total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182</w:t>
            </w:r>
          </w:p>
        </w:tc>
        <w:tc>
          <w:tcPr>
            <w:tcW w:w="2400" w:type="dxa"/>
          </w:tcPr>
          <w:p>
            <w:pPr>
              <w:spacing w:line="240" w:lineRule="auto" w:after="0"/>
              <w:jc w:val="center"/>
            </w:pPr>
            <w:r>
              <w:rPr>
                <w:rFonts w:ascii="Arial" w:hAnsi="Arial"/>
                <w:sz w:val="20"/>
              </w:rPr>
              <w:t xml:space="preserve">100,0</w:t>
            </w:r>
          </w:p>
        </w:tc>
      </w:tr>
    </w:tbl>
    <w:p>
      <w:pPr>
        <w:spacing w:line="240" w:lineRule="auto" w:after="240"/>
        <w:jc w:val="center"/>
      </w:pPr>
      <w:r>
        <w:rPr>
          <w:rFonts w:ascii="Arial" w:hAnsi="Arial"/>
          <w:sz w:val="18"/>
        </w:rPr>
        <w:t xml:space="preserve">Fonte: elaborado pelos autores (2025).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3 RESULTADOS E DISCUSSÃO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Dos 182 respondentes, 142 (78,0%) relataram já ter tido ao menos um trabalho devolvido para correção por motivo exclusivamente formal. Esse número é superior ao encontrado por Oliveira e Costa (2019), que registraram 64% em amostra semelhante, ainda que com instrumento distinto.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O tempo médio declarado para adequar um artigo já escrito a uma norma específica foi de 4,2 horas (DP = 2,8). Chama atenção a dispersão: enquanto estudantes com orientação metodológica sistemática declararam média de 2,1 horas, os demais relataram 5,7 horas — diferença estatisticamente significativa (t = 6,34; p &lt; 0,001).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Nas entrevistas, a categoria mais recorrente foi a de retrabalho por mudança de veículo. Uma participante resumiu: a mesma pesquisa teve de ser formatada três vezes, em três normas diferentes, sem que uma linha do conteúdo mudasse.</w:t>
      </w:r>
    </w:p>
    <w:p>
      <w:pPr>
        <w:spacing w:line="240" w:lineRule="auto" w:after="60"/>
        <w:jc w:val="center"/>
      </w:pPr>
      <w:r>
        <w:rPr>
          <w:rFonts w:ascii="Arial" w:hAnsi="Arial"/>
          <w:sz w:val="20"/>
          <w:b/>
        </w:rPr>
        <w:t xml:space="preserve">Figura 1 — Distribuição do tempo declarado de formatação por grupo</w:t>
      </w:r>
    </w:p>
    <w:p>
      <w:pPr>
        <w:spacing w:line="240" w:lineRule="auto" w:after="60"/>
        <w:jc w:val="center"/>
      </w:pPr>
      <w:r>
        <w:rPr>
          <w:rFonts w:ascii="Arial" w:hAnsi="Arial"/>
          <w:sz w:val="20"/>
          <w:i/>
        </w:rPr>
        <w:t xml:space="preserve">[espaço reservado para o gráfico de barras]</w:t>
      </w:r>
    </w:p>
    <w:p>
      <w:pPr>
        <w:spacing w:line="240" w:lineRule="auto" w:after="240"/>
        <w:jc w:val="center"/>
      </w:pPr>
      <w:r>
        <w:rPr>
          <w:rFonts w:ascii="Arial" w:hAnsi="Arial"/>
          <w:sz w:val="18"/>
        </w:rPr>
        <w:t xml:space="preserve">Fonte: dados da pesquisa (2025).</w:t>
      </w:r>
    </w:p>
    <w:p>
      <w:pPr>
        <w:pStyle w:val="Heading1"/>
        <w:spacing w:line="240" w:lineRule="auto" w:after="60"/>
        <w:jc w:val="left"/>
      </w:pPr>
      <w:r>
        <w:rPr>
          <w:rFonts w:ascii="Arial" w:hAnsi="Arial"/>
          <w:sz w:val="22"/>
          <w:b/>
        </w:rPr>
        <w:t xml:space="preserve">4 CONSIDERAÇÕES FINAIS</w:t>
      </w:r>
    </w:p>
    <w:p>
      <w:pPr>
        <w:spacing w:line="240" w:lineRule="auto" w:after="0"/>
        <w:jc w:val="left"/>
      </w:pPr>
      <w:r>
        <w:rPr>
          <w:rFonts w:ascii="Arial" w:hAnsi="Arial"/>
          <w:sz w:val="22"/>
        </w:rPr>
        <w:t xml:space="preserve">Os dados reunidos sustentam a existência de uma demanda concreta por automação da formatação acadêmica. A desigualdade observada entre estudantes com e sem acesso a orientação metodológica sugere que o custo da normalização recai de forma desproporcional sobre quem já dispõe de menos apoio institucional.</w:t>
      </w:r>
    </w:p>
    <w:p>
      <w:pPr>
        <w:spacing w:line="240" w:lineRule="auto" w:after="240"/>
        <w:jc w:val="left"/>
      </w:pPr>
      <w:r>
        <w:rPr>
          <w:rFonts w:ascii="Arial" w:hAnsi="Arial"/>
          <w:sz w:val="22"/>
        </w:rPr>
        <w:t xml:space="preserve">Entre as limitações do estudo, registra-se a amostragem por conveniência em instituição única, o que restringe a generalização. Pesquisas futuras poderiam avaliar empiricamente o ganho de tempo proporcionado por ferramentas de formatação automática.</w:t>
      </w:r>
    </w:p>
    <w:p>
      <w:pPr>
        <w:pStyle w:val="Heading1"/>
        <w:spacing w:line="240" w:lineRule="auto" w:after="120"/>
        <w:jc w:val="left"/>
      </w:pPr>
      <w:r>
        <w:rPr>
          <w:rFonts w:ascii="Arial" w:hAnsi="Arial"/>
          <w:sz w:val="22"/>
          <w:b/>
        </w:rPr>
        <w:t xml:space="preserve">REFERÊNCIAS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SEVERINO, Antônio Joaquim. Metodologia do trabalho científico. 24. ed. São Paulo: Cortez, 2016.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ABNT — ASSOCIAÇÃO BRASILEIRA DE NORMAS TÉCNICAS. NBR 14724: informação e documentação: trabalhos acadêmicos: apresentação. Rio de Janeiro: ABNT, 2011.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OLIVEIRA, Camila Ribeiro de; COSTA, Bruno Tavares. Normalização e retrabalho na graduação. Revista Brasileira de Educação Superior, Belo Horizonte, v. 12, n. 3, p. 45-62, 2019.</w:t>
      </w:r>
    </w:p>
    <w:p>
      <w:pPr>
        <w:spacing w:line="240" w:lineRule="auto" w:after="120"/>
        <w:jc w:val="left"/>
      </w:pPr>
      <w:r>
        <w:rPr>
          <w:rFonts w:ascii="Arial" w:hAnsi="Arial"/>
          <w:sz w:val="22"/>
        </w:rPr>
        <w:t xml:space="preserve">MARCONI, Marina de Andrade; LAKATOS, Eva Maria. Fundamentos de metodologia científica. 8. ed. São Paulo: Atlas, 2017.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24"/>
    </w:rPr>
  </w:style>
  <w:style w:type="paragraph" w:styleId="Heading1">
    <w:name w:val="heading 1"/>
    <w:basedOn w:val="Normal"/>
    <w:rPr>
      <w:b/>
      <w:sz w:val="22"/>
    </w:rPr>
  </w:style>
  <w:style w:type="paragraph" w:styleId="Heading2">
    <w:name w:val="heading 2"/>
    <w:basedOn w:val="Normal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